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EA6B3" w14:textId="77777777" w:rsidR="00004A0E" w:rsidRPr="00C47924" w:rsidRDefault="00620403" w:rsidP="00D24D16">
      <w:pPr>
        <w:spacing w:line="276" w:lineRule="auto"/>
        <w:jc w:val="center"/>
        <w:rPr>
          <w:rFonts w:ascii="Playfair Display" w:hAnsi="Playfair Display"/>
          <w:b/>
          <w:color w:val="000000" w:themeColor="text1"/>
          <w:sz w:val="28"/>
          <w:lang w:val="hu-HU"/>
        </w:rPr>
      </w:pPr>
      <w:r w:rsidRPr="00C47924">
        <w:rPr>
          <w:rFonts w:ascii="Playfair Display" w:hAnsi="Playfair Display"/>
          <w:b/>
          <w:color w:val="000000" w:themeColor="text1"/>
          <w:sz w:val="28"/>
          <w:lang w:val="hu-HU"/>
        </w:rPr>
        <w:t>ADATKEZELÉSI TÁJÉKOZTATÓ</w:t>
      </w:r>
    </w:p>
    <w:p w14:paraId="12CDDE3F" w14:textId="77777777" w:rsidR="00620403" w:rsidRPr="00C47924" w:rsidRDefault="00620403" w:rsidP="00D24D16">
      <w:pPr>
        <w:spacing w:line="276" w:lineRule="auto"/>
        <w:jc w:val="center"/>
        <w:rPr>
          <w:rFonts w:ascii="Playfair Display" w:hAnsi="Playfair Display"/>
          <w:i/>
          <w:color w:val="000000" w:themeColor="text1"/>
          <w:lang w:val="hu-HU"/>
        </w:rPr>
      </w:pPr>
      <w:r w:rsidRPr="00C47924">
        <w:rPr>
          <w:rFonts w:ascii="Playfair Display" w:hAnsi="Playfair Display"/>
          <w:i/>
          <w:color w:val="000000" w:themeColor="text1"/>
          <w:lang w:val="hu-HU"/>
        </w:rPr>
        <w:t>Álláspályázatra jelentkező személyek részére</w:t>
      </w:r>
    </w:p>
    <w:p w14:paraId="554EF30C" w14:textId="06F02987" w:rsidR="00D75B7B" w:rsidRPr="00C47924" w:rsidRDefault="00FA56A1" w:rsidP="00D24D16">
      <w:pPr>
        <w:spacing w:line="276" w:lineRule="auto"/>
        <w:jc w:val="center"/>
        <w:rPr>
          <w:rFonts w:ascii="Playfair Display" w:hAnsi="Playfair Display"/>
          <w:i/>
          <w:color w:val="000000" w:themeColor="text1"/>
          <w:lang w:val="hu-HU"/>
        </w:rPr>
      </w:pPr>
      <w:r>
        <w:rPr>
          <w:rFonts w:ascii="Playfair Display" w:hAnsi="Playfair Display"/>
          <w:i/>
          <w:color w:val="000000" w:themeColor="text1"/>
          <w:lang w:val="hu-HU"/>
        </w:rPr>
        <w:t>Hatályos 2026.04.24</w:t>
      </w:r>
      <w:r w:rsidR="00D75B7B" w:rsidRPr="00C47924">
        <w:rPr>
          <w:rFonts w:ascii="Playfair Display" w:hAnsi="Playfair Display"/>
          <w:i/>
          <w:color w:val="000000" w:themeColor="text1"/>
          <w:lang w:val="hu-HU"/>
        </w:rPr>
        <w:t>.</w:t>
      </w:r>
    </w:p>
    <w:p w14:paraId="7ED3D9B8" w14:textId="77777777" w:rsidR="00620403" w:rsidRPr="00C47924" w:rsidRDefault="00620403" w:rsidP="00D24D16">
      <w:pPr>
        <w:spacing w:line="276" w:lineRule="auto"/>
        <w:jc w:val="center"/>
        <w:rPr>
          <w:rFonts w:ascii="Playfair Display" w:hAnsi="Playfair Display"/>
          <w:color w:val="000000" w:themeColor="text1"/>
          <w:sz w:val="28"/>
          <w:lang w:val="hu-HU"/>
        </w:rPr>
      </w:pPr>
    </w:p>
    <w:p w14:paraId="205468F3" w14:textId="77777777" w:rsidR="00620403" w:rsidRPr="00C47924" w:rsidRDefault="00620403" w:rsidP="00D24D16">
      <w:pPr>
        <w:pStyle w:val="ListParagraph"/>
        <w:numPr>
          <w:ilvl w:val="0"/>
          <w:numId w:val="1"/>
        </w:numPr>
        <w:spacing w:line="276" w:lineRule="auto"/>
        <w:ind w:left="567" w:hanging="567"/>
        <w:jc w:val="both"/>
        <w:rPr>
          <w:rFonts w:ascii="Playfair Display" w:hAnsi="Playfair Display" w:cs="Times New Roman"/>
          <w:b/>
          <w:bCs/>
          <w:color w:val="000000" w:themeColor="text1"/>
          <w:sz w:val="24"/>
          <w:szCs w:val="24"/>
        </w:rPr>
      </w:pPr>
      <w:r w:rsidRPr="00C47924">
        <w:rPr>
          <w:rFonts w:ascii="Playfair Display" w:hAnsi="Playfair Display" w:cs="Times New Roman"/>
          <w:b/>
          <w:bCs/>
          <w:color w:val="000000" w:themeColor="text1"/>
          <w:sz w:val="24"/>
          <w:szCs w:val="24"/>
        </w:rPr>
        <w:t>Adatkezelő adatai</w:t>
      </w:r>
    </w:p>
    <w:tbl>
      <w:tblPr>
        <w:tblStyle w:val="TableGrid"/>
        <w:tblW w:w="8973" w:type="dxa"/>
        <w:tblLook w:val="04A0" w:firstRow="1" w:lastRow="0" w:firstColumn="1" w:lastColumn="0" w:noHBand="0" w:noVBand="1"/>
      </w:tblPr>
      <w:tblGrid>
        <w:gridCol w:w="8973"/>
      </w:tblGrid>
      <w:tr w:rsidR="004A4037" w:rsidRPr="00C47924" w14:paraId="112EF0DC" w14:textId="77777777" w:rsidTr="00464F9C">
        <w:trPr>
          <w:trHeight w:val="284"/>
        </w:trPr>
        <w:tc>
          <w:tcPr>
            <w:tcW w:w="8973" w:type="dxa"/>
            <w:shd w:val="clear" w:color="auto" w:fill="auto"/>
          </w:tcPr>
          <w:p w14:paraId="614AE48D" w14:textId="77777777" w:rsidR="00620403" w:rsidRPr="00C47924" w:rsidRDefault="00620403" w:rsidP="00D24D16">
            <w:pPr>
              <w:spacing w:line="276" w:lineRule="auto"/>
              <w:jc w:val="both"/>
              <w:rPr>
                <w:rFonts w:ascii="Playfair Display" w:hAnsi="Playfair Display"/>
                <w:b/>
                <w:color w:val="000000" w:themeColor="text1"/>
              </w:rPr>
            </w:pPr>
            <w:r w:rsidRPr="00C47924">
              <w:rPr>
                <w:rFonts w:ascii="Playfair Display" w:hAnsi="Playfair Display"/>
                <w:b/>
                <w:color w:val="000000" w:themeColor="text1"/>
              </w:rPr>
              <w:t>Az Adatkezelő adatai</w:t>
            </w:r>
          </w:p>
        </w:tc>
      </w:tr>
      <w:tr w:rsidR="00620403" w:rsidRPr="00C47924" w14:paraId="78CA103A" w14:textId="77777777" w:rsidTr="00464F9C">
        <w:trPr>
          <w:trHeight w:val="1567"/>
        </w:trPr>
        <w:tc>
          <w:tcPr>
            <w:tcW w:w="8973" w:type="dxa"/>
          </w:tcPr>
          <w:p w14:paraId="50DAD028" w14:textId="14E02D55"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 xml:space="preserve">Az adatkezelő neve: </w:t>
            </w:r>
            <w:bookmarkStart w:id="0" w:name="_Hlk223358875"/>
            <w:r w:rsidR="004A4037" w:rsidRPr="00C47924">
              <w:rPr>
                <w:rFonts w:ascii="Playfair Display" w:hAnsi="Playfair Display"/>
                <w:color w:val="000000" w:themeColor="text1"/>
              </w:rPr>
              <w:t>FMarketing</w:t>
            </w:r>
            <w:r w:rsidRPr="00C47924">
              <w:rPr>
                <w:rFonts w:ascii="Playfair Display" w:hAnsi="Playfair Display"/>
                <w:color w:val="000000" w:themeColor="text1"/>
              </w:rPr>
              <w:t xml:space="preserve"> Kft.</w:t>
            </w:r>
            <w:bookmarkEnd w:id="0"/>
          </w:p>
          <w:p w14:paraId="75707D1F" w14:textId="4CFA640F"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 xml:space="preserve">Az adatkezelő székhelye: </w:t>
            </w:r>
            <w:r w:rsidR="002835FD">
              <w:rPr>
                <w:rFonts w:ascii="Playfair Display" w:hAnsi="Playfair Display"/>
              </w:rPr>
              <w:t>4032 Debrecen, Hársfavirág u. 1/A E. ép</w:t>
            </w:r>
            <w:r w:rsidR="004A4037" w:rsidRPr="00C47924">
              <w:rPr>
                <w:rFonts w:ascii="Playfair Display" w:hAnsi="Playfair Display"/>
                <w:color w:val="000000" w:themeColor="text1"/>
              </w:rPr>
              <w:t>.</w:t>
            </w:r>
          </w:p>
          <w:p w14:paraId="777D125B" w14:textId="2417399A"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Az adatkezelő képviselője</w:t>
            </w:r>
            <w:r w:rsidR="00770BCB">
              <w:rPr>
                <w:rFonts w:ascii="Playfair Display" w:hAnsi="Playfair Display"/>
                <w:color w:val="000000" w:themeColor="text1"/>
              </w:rPr>
              <w:t>: Szikszai Tamás</w:t>
            </w:r>
          </w:p>
          <w:p w14:paraId="14363641" w14:textId="35A0E94D"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 xml:space="preserve">Elektronikus levelezési cím: </w:t>
            </w:r>
            <w:r w:rsidR="00E428C6" w:rsidRPr="00C47924">
              <w:rPr>
                <w:rFonts w:ascii="Playfair Display" w:hAnsi="Playfair Display"/>
                <w:color w:val="000000" w:themeColor="text1"/>
              </w:rPr>
              <w:t>hello</w:t>
            </w:r>
            <w:r w:rsidRPr="00C47924">
              <w:rPr>
                <w:rFonts w:ascii="Playfair Display" w:hAnsi="Playfair Display"/>
                <w:color w:val="000000" w:themeColor="text1"/>
              </w:rPr>
              <w:t>@</w:t>
            </w:r>
            <w:r w:rsidR="00E428C6" w:rsidRPr="00C47924">
              <w:rPr>
                <w:rFonts w:ascii="Playfair Display" w:hAnsi="Playfair Display"/>
                <w:color w:val="000000" w:themeColor="text1"/>
              </w:rPr>
              <w:t>futuremanagement</w:t>
            </w:r>
            <w:r w:rsidRPr="00C47924">
              <w:rPr>
                <w:rFonts w:ascii="Playfair Display" w:hAnsi="Playfair Display"/>
                <w:color w:val="000000" w:themeColor="text1"/>
              </w:rPr>
              <w:t>.hu</w:t>
            </w:r>
          </w:p>
          <w:p w14:paraId="7ECC2590" w14:textId="238AE9DA"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A tájékoztató ha</w:t>
            </w:r>
            <w:r w:rsidR="00E428C6" w:rsidRPr="00C47924">
              <w:rPr>
                <w:rFonts w:ascii="Playfair Display" w:hAnsi="Playfair Display"/>
                <w:color w:val="000000" w:themeColor="text1"/>
              </w:rPr>
              <w:t>tál</w:t>
            </w:r>
            <w:r w:rsidR="00FA56A1">
              <w:rPr>
                <w:rFonts w:ascii="Playfair Display" w:hAnsi="Playfair Display"/>
                <w:color w:val="000000" w:themeColor="text1"/>
              </w:rPr>
              <w:t>yba lépésének dátuma: 2026.04.24</w:t>
            </w:r>
            <w:r w:rsidRPr="00C47924">
              <w:rPr>
                <w:rFonts w:ascii="Playfair Display" w:hAnsi="Playfair Display"/>
                <w:color w:val="000000" w:themeColor="text1"/>
              </w:rPr>
              <w:t>.</w:t>
            </w:r>
          </w:p>
        </w:tc>
      </w:tr>
    </w:tbl>
    <w:p w14:paraId="3895AA9B" w14:textId="77777777" w:rsidR="00E428C6" w:rsidRPr="00C47924" w:rsidRDefault="00E428C6" w:rsidP="00D24D16">
      <w:pPr>
        <w:spacing w:line="276" w:lineRule="auto"/>
        <w:jc w:val="both"/>
        <w:rPr>
          <w:rFonts w:ascii="Playfair Display" w:hAnsi="Playfair Display"/>
          <w:color w:val="000000" w:themeColor="text1"/>
          <w:lang w:val="hu-HU"/>
        </w:rPr>
      </w:pPr>
    </w:p>
    <w:p w14:paraId="6757325C" w14:textId="77777777" w:rsidR="00620403" w:rsidRPr="00C47924" w:rsidRDefault="00620403" w:rsidP="00E428C6">
      <w:pPr>
        <w:pStyle w:val="ListParagraph"/>
        <w:numPr>
          <w:ilvl w:val="0"/>
          <w:numId w:val="1"/>
        </w:numPr>
        <w:spacing w:line="276" w:lineRule="auto"/>
        <w:ind w:left="567" w:hanging="567"/>
        <w:rPr>
          <w:rFonts w:ascii="Playfair Display" w:hAnsi="Playfair Display" w:cs="Times New Roman"/>
          <w:b/>
          <w:bCs/>
          <w:color w:val="000000" w:themeColor="text1"/>
          <w:sz w:val="24"/>
          <w:szCs w:val="24"/>
        </w:rPr>
      </w:pPr>
      <w:r w:rsidRPr="00C47924">
        <w:rPr>
          <w:rFonts w:ascii="Playfair Display" w:hAnsi="Playfair Display" w:cs="Times New Roman"/>
          <w:b/>
          <w:bCs/>
          <w:color w:val="000000" w:themeColor="text1"/>
          <w:sz w:val="24"/>
          <w:szCs w:val="24"/>
        </w:rPr>
        <w:t xml:space="preserve">Az adatkezelés alapjául szolgáló jogszabályok </w:t>
      </w:r>
    </w:p>
    <w:p w14:paraId="1733F3DA" w14:textId="77777777" w:rsidR="00620403" w:rsidRPr="00C47924" w:rsidRDefault="00620403" w:rsidP="00D24D16">
      <w:pPr>
        <w:pStyle w:val="ListParagraph"/>
        <w:numPr>
          <w:ilvl w:val="0"/>
          <w:numId w:val="2"/>
        </w:numPr>
        <w:spacing w:line="276" w:lineRule="auto"/>
        <w:jc w:val="both"/>
        <w:rPr>
          <w:rFonts w:ascii="Playfair Display" w:hAnsi="Playfair Display"/>
          <w:color w:val="000000" w:themeColor="text1"/>
          <w:sz w:val="28"/>
        </w:rPr>
      </w:pPr>
      <w:r w:rsidRPr="00C47924">
        <w:rPr>
          <w:rFonts w:ascii="Playfair Display" w:hAnsi="Playfair Display"/>
          <w:color w:val="000000" w:themeColor="text1"/>
          <w:sz w:val="24"/>
        </w:rPr>
        <w:t xml:space="preserve">az Európai Parlament és a Tanács (EU) 2016/679 Rendelete a természetes személyeknek a személyes adatok kezelése tekintetében történő védelméről és az ilyen adatok szabad áramlásáról, valamint a 95/46 EK irányelv hatályon kívül helyezéséről (a továbbiakban GDPR Rendelet) </w:t>
      </w:r>
    </w:p>
    <w:p w14:paraId="37303AB9" w14:textId="48380541" w:rsidR="00E428C6" w:rsidRPr="00C47924" w:rsidRDefault="00620403" w:rsidP="001B14D9">
      <w:pPr>
        <w:pStyle w:val="ListParagraph"/>
        <w:numPr>
          <w:ilvl w:val="0"/>
          <w:numId w:val="2"/>
        </w:numPr>
        <w:spacing w:line="276" w:lineRule="auto"/>
        <w:jc w:val="both"/>
        <w:rPr>
          <w:rFonts w:ascii="Playfair Display" w:hAnsi="Playfair Display"/>
          <w:color w:val="000000" w:themeColor="text1"/>
          <w:sz w:val="28"/>
        </w:rPr>
      </w:pPr>
      <w:r w:rsidRPr="00C47924">
        <w:rPr>
          <w:rFonts w:ascii="Playfair Display" w:hAnsi="Playfair Display"/>
          <w:color w:val="000000" w:themeColor="text1"/>
          <w:sz w:val="24"/>
        </w:rPr>
        <w:t>a munka törvénykönyvéről szóló 2012. évi I. törvény (Mt.</w:t>
      </w:r>
      <w:r w:rsidR="001B14D9" w:rsidRPr="00C47924">
        <w:rPr>
          <w:rFonts w:ascii="Playfair Display" w:hAnsi="Playfair Display"/>
          <w:color w:val="000000" w:themeColor="text1"/>
          <w:sz w:val="24"/>
        </w:rPr>
        <w:t>)</w:t>
      </w:r>
    </w:p>
    <w:p w14:paraId="01AA283E" w14:textId="77777777" w:rsidR="00D24D16" w:rsidRPr="00C47924" w:rsidRDefault="00D24D16" w:rsidP="00D24D16">
      <w:pPr>
        <w:pStyle w:val="ListParagraph"/>
        <w:spacing w:line="276" w:lineRule="auto"/>
        <w:jc w:val="both"/>
        <w:rPr>
          <w:rFonts w:ascii="Playfair Display" w:hAnsi="Playfair Display"/>
          <w:color w:val="000000" w:themeColor="text1"/>
          <w:sz w:val="28"/>
        </w:rPr>
      </w:pPr>
    </w:p>
    <w:p w14:paraId="50A61A6E" w14:textId="77777777" w:rsidR="00620403" w:rsidRPr="00C47924" w:rsidRDefault="00620403" w:rsidP="00D24D16">
      <w:pPr>
        <w:pStyle w:val="ListParagraph"/>
        <w:numPr>
          <w:ilvl w:val="0"/>
          <w:numId w:val="1"/>
        </w:numPr>
        <w:spacing w:line="276" w:lineRule="auto"/>
        <w:jc w:val="both"/>
        <w:rPr>
          <w:rFonts w:ascii="Playfair Display" w:hAnsi="Playfair Display" w:cs="Times New Roman"/>
          <w:b/>
          <w:bCs/>
          <w:color w:val="000000" w:themeColor="text1"/>
          <w:sz w:val="24"/>
          <w:szCs w:val="24"/>
        </w:rPr>
      </w:pPr>
      <w:r w:rsidRPr="00C47924">
        <w:rPr>
          <w:rFonts w:ascii="Playfair Display" w:hAnsi="Playfair Display" w:cs="Times New Roman"/>
          <w:b/>
          <w:bCs/>
          <w:color w:val="000000" w:themeColor="text1"/>
          <w:sz w:val="24"/>
          <w:szCs w:val="24"/>
        </w:rPr>
        <w:t>Fogalmak</w:t>
      </w:r>
    </w:p>
    <w:tbl>
      <w:tblPr>
        <w:tblStyle w:val="TableGrid"/>
        <w:tblW w:w="0" w:type="auto"/>
        <w:tblLook w:val="04A0" w:firstRow="1" w:lastRow="0" w:firstColumn="1" w:lastColumn="0" w:noHBand="0" w:noVBand="1"/>
      </w:tblPr>
      <w:tblGrid>
        <w:gridCol w:w="1833"/>
        <w:gridCol w:w="4572"/>
        <w:gridCol w:w="2649"/>
      </w:tblGrid>
      <w:tr w:rsidR="004A4037" w:rsidRPr="00C47924" w14:paraId="36FCAD72" w14:textId="77777777" w:rsidTr="002C220E">
        <w:trPr>
          <w:trHeight w:val="669"/>
        </w:trPr>
        <w:tc>
          <w:tcPr>
            <w:tcW w:w="1833" w:type="dxa"/>
          </w:tcPr>
          <w:p w14:paraId="0F50C8DA" w14:textId="77777777" w:rsidR="00620403" w:rsidRPr="00C47924" w:rsidRDefault="00620403" w:rsidP="00D24D16">
            <w:pPr>
              <w:spacing w:line="276" w:lineRule="auto"/>
              <w:jc w:val="center"/>
              <w:rPr>
                <w:rFonts w:ascii="Playfair Display" w:hAnsi="Playfair Display"/>
                <w:b/>
                <w:color w:val="000000" w:themeColor="text1"/>
              </w:rPr>
            </w:pPr>
            <w:r w:rsidRPr="00C47924">
              <w:rPr>
                <w:rFonts w:ascii="Playfair Display" w:hAnsi="Playfair Display"/>
                <w:b/>
                <w:color w:val="000000" w:themeColor="text1"/>
              </w:rPr>
              <w:t>Fogalom</w:t>
            </w:r>
          </w:p>
        </w:tc>
        <w:tc>
          <w:tcPr>
            <w:tcW w:w="4572" w:type="dxa"/>
          </w:tcPr>
          <w:p w14:paraId="29361356" w14:textId="77777777" w:rsidR="00620403" w:rsidRPr="00C47924" w:rsidRDefault="00620403" w:rsidP="00D24D16">
            <w:pPr>
              <w:spacing w:line="276" w:lineRule="auto"/>
              <w:jc w:val="center"/>
              <w:rPr>
                <w:rFonts w:ascii="Playfair Display" w:hAnsi="Playfair Display"/>
                <w:b/>
                <w:color w:val="000000" w:themeColor="text1"/>
              </w:rPr>
            </w:pPr>
            <w:r w:rsidRPr="00C47924">
              <w:rPr>
                <w:rFonts w:ascii="Playfair Display" w:hAnsi="Playfair Display"/>
                <w:b/>
                <w:color w:val="000000" w:themeColor="text1"/>
              </w:rPr>
              <w:t>Fogalommeghatározás</w:t>
            </w:r>
          </w:p>
        </w:tc>
        <w:tc>
          <w:tcPr>
            <w:tcW w:w="2649" w:type="dxa"/>
          </w:tcPr>
          <w:p w14:paraId="1A90904E" w14:textId="77777777" w:rsidR="00620403" w:rsidRPr="00C47924" w:rsidRDefault="00620403" w:rsidP="00D24D16">
            <w:pPr>
              <w:spacing w:line="276" w:lineRule="auto"/>
              <w:jc w:val="center"/>
              <w:rPr>
                <w:rFonts w:ascii="Playfair Display" w:hAnsi="Playfair Display"/>
                <w:b/>
                <w:color w:val="000000" w:themeColor="text1"/>
              </w:rPr>
            </w:pPr>
            <w:r w:rsidRPr="00C47924">
              <w:rPr>
                <w:rFonts w:ascii="Playfair Display" w:hAnsi="Playfair Display"/>
                <w:b/>
                <w:color w:val="000000" w:themeColor="text1"/>
              </w:rPr>
              <w:t>GDPR szerinti jogszabályhely</w:t>
            </w:r>
          </w:p>
        </w:tc>
      </w:tr>
      <w:tr w:rsidR="004A4037" w:rsidRPr="00C47924" w14:paraId="5F944925" w14:textId="77777777" w:rsidTr="002C220E">
        <w:tc>
          <w:tcPr>
            <w:tcW w:w="1833" w:type="dxa"/>
          </w:tcPr>
          <w:p w14:paraId="1696AF3B" w14:textId="77777777" w:rsidR="00620403" w:rsidRPr="00C47924" w:rsidRDefault="00620403" w:rsidP="00D24D16">
            <w:pPr>
              <w:spacing w:line="276" w:lineRule="auto"/>
              <w:jc w:val="both"/>
              <w:rPr>
                <w:rFonts w:ascii="Playfair Display" w:hAnsi="Playfair Display"/>
                <w:b/>
                <w:color w:val="000000" w:themeColor="text1"/>
              </w:rPr>
            </w:pPr>
            <w:r w:rsidRPr="00C47924">
              <w:rPr>
                <w:rFonts w:ascii="Playfair Display" w:hAnsi="Playfair Display"/>
                <w:b/>
                <w:color w:val="000000" w:themeColor="text1"/>
              </w:rPr>
              <w:t>Adatkezelő</w:t>
            </w:r>
          </w:p>
        </w:tc>
        <w:tc>
          <w:tcPr>
            <w:tcW w:w="4572" w:type="dxa"/>
          </w:tcPr>
          <w:p w14:paraId="2DCD227B" w14:textId="77777777"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tc>
        <w:tc>
          <w:tcPr>
            <w:tcW w:w="2649" w:type="dxa"/>
          </w:tcPr>
          <w:p w14:paraId="31B09D6E" w14:textId="77777777"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GDPR 4. cikk 7</w:t>
            </w:r>
          </w:p>
        </w:tc>
      </w:tr>
      <w:tr w:rsidR="004A4037" w:rsidRPr="00C47924" w14:paraId="57270D6C" w14:textId="77777777" w:rsidTr="002C220E">
        <w:tc>
          <w:tcPr>
            <w:tcW w:w="1833" w:type="dxa"/>
          </w:tcPr>
          <w:p w14:paraId="56C6F585" w14:textId="77777777" w:rsidR="00620403" w:rsidRPr="00C47924" w:rsidRDefault="00620403" w:rsidP="00D24D16">
            <w:pPr>
              <w:spacing w:line="276" w:lineRule="auto"/>
              <w:jc w:val="both"/>
              <w:rPr>
                <w:rFonts w:ascii="Playfair Display" w:hAnsi="Playfair Display"/>
                <w:b/>
                <w:color w:val="000000" w:themeColor="text1"/>
              </w:rPr>
            </w:pPr>
            <w:r w:rsidRPr="00C47924">
              <w:rPr>
                <w:rFonts w:ascii="Playfair Display" w:hAnsi="Playfair Display"/>
                <w:b/>
                <w:color w:val="000000" w:themeColor="text1"/>
              </w:rPr>
              <w:lastRenderedPageBreak/>
              <w:t>Adatkezelés</w:t>
            </w:r>
          </w:p>
        </w:tc>
        <w:tc>
          <w:tcPr>
            <w:tcW w:w="4572" w:type="dxa"/>
          </w:tcPr>
          <w:p w14:paraId="29C5CA6E" w14:textId="77777777"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tc>
        <w:tc>
          <w:tcPr>
            <w:tcW w:w="2649" w:type="dxa"/>
          </w:tcPr>
          <w:p w14:paraId="23F3B302" w14:textId="77777777"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GDPR 4. cikk 2.</w:t>
            </w:r>
          </w:p>
        </w:tc>
      </w:tr>
      <w:tr w:rsidR="004A4037" w:rsidRPr="00C47924" w14:paraId="01BCEFC8" w14:textId="77777777" w:rsidTr="002C220E">
        <w:tc>
          <w:tcPr>
            <w:tcW w:w="1833" w:type="dxa"/>
          </w:tcPr>
          <w:p w14:paraId="103ABCD5" w14:textId="7A634EDB" w:rsidR="00620403" w:rsidRPr="00C47924" w:rsidRDefault="00297ACB" w:rsidP="00D24D16">
            <w:pPr>
              <w:spacing w:line="276" w:lineRule="auto"/>
              <w:jc w:val="both"/>
              <w:rPr>
                <w:rFonts w:ascii="Playfair Display" w:hAnsi="Playfair Display"/>
                <w:b/>
                <w:color w:val="000000" w:themeColor="text1"/>
              </w:rPr>
            </w:pPr>
            <w:r w:rsidRPr="00C47924">
              <w:rPr>
                <w:rFonts w:ascii="Playfair Display" w:hAnsi="Playfair Display"/>
                <w:b/>
                <w:color w:val="000000" w:themeColor="text1"/>
              </w:rPr>
              <w:t>Az adatkezelés korlátoz</w:t>
            </w:r>
            <w:r w:rsidR="00620403" w:rsidRPr="00C47924">
              <w:rPr>
                <w:rFonts w:ascii="Playfair Display" w:hAnsi="Playfair Display"/>
                <w:b/>
                <w:color w:val="000000" w:themeColor="text1"/>
              </w:rPr>
              <w:t>ása</w:t>
            </w:r>
          </w:p>
        </w:tc>
        <w:tc>
          <w:tcPr>
            <w:tcW w:w="4572" w:type="dxa"/>
          </w:tcPr>
          <w:p w14:paraId="386AEDA1" w14:textId="77777777"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a tárolt személyes adatok megjelölése jövőbeli kezelésük korlátozása céljából</w:t>
            </w:r>
          </w:p>
        </w:tc>
        <w:tc>
          <w:tcPr>
            <w:tcW w:w="2649" w:type="dxa"/>
          </w:tcPr>
          <w:p w14:paraId="792B0071" w14:textId="77777777"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GDPR 4. cikk 3.</w:t>
            </w:r>
          </w:p>
        </w:tc>
      </w:tr>
      <w:tr w:rsidR="004A4037" w:rsidRPr="00C47924" w14:paraId="68E7C60C" w14:textId="77777777" w:rsidTr="002C220E">
        <w:tc>
          <w:tcPr>
            <w:tcW w:w="1833" w:type="dxa"/>
          </w:tcPr>
          <w:p w14:paraId="48478188" w14:textId="77777777" w:rsidR="00620403" w:rsidRPr="00C47924" w:rsidRDefault="00620403" w:rsidP="00D24D16">
            <w:pPr>
              <w:spacing w:line="276" w:lineRule="auto"/>
              <w:jc w:val="both"/>
              <w:rPr>
                <w:rFonts w:ascii="Playfair Display" w:hAnsi="Playfair Display"/>
                <w:b/>
                <w:color w:val="000000" w:themeColor="text1"/>
              </w:rPr>
            </w:pPr>
            <w:r w:rsidRPr="00C47924">
              <w:rPr>
                <w:rFonts w:ascii="Playfair Display" w:hAnsi="Playfair Display"/>
                <w:b/>
                <w:color w:val="000000" w:themeColor="text1"/>
              </w:rPr>
              <w:t>Adatfeldolgozó</w:t>
            </w:r>
          </w:p>
        </w:tc>
        <w:tc>
          <w:tcPr>
            <w:tcW w:w="4572" w:type="dxa"/>
          </w:tcPr>
          <w:p w14:paraId="7A4108E2" w14:textId="77777777"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az a természetes vagy jogi személy, közhatalmi szerv, ügynökség vagy bármely egyéb szerv, amely az adatkezelő nevében személyes adatokat kezel</w:t>
            </w:r>
          </w:p>
        </w:tc>
        <w:tc>
          <w:tcPr>
            <w:tcW w:w="2649" w:type="dxa"/>
          </w:tcPr>
          <w:p w14:paraId="2BFECC13" w14:textId="77777777"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GDPR 4. cikk 8.</w:t>
            </w:r>
          </w:p>
        </w:tc>
      </w:tr>
      <w:tr w:rsidR="004A4037" w:rsidRPr="00C47924" w14:paraId="2C9791C2" w14:textId="77777777" w:rsidTr="002C220E">
        <w:tc>
          <w:tcPr>
            <w:tcW w:w="1833" w:type="dxa"/>
          </w:tcPr>
          <w:p w14:paraId="1EA5AFB3" w14:textId="77777777" w:rsidR="00620403" w:rsidRPr="00C47924" w:rsidRDefault="00620403" w:rsidP="00D24D16">
            <w:pPr>
              <w:spacing w:line="276" w:lineRule="auto"/>
              <w:jc w:val="both"/>
              <w:rPr>
                <w:rFonts w:ascii="Playfair Display" w:hAnsi="Playfair Display"/>
                <w:b/>
                <w:color w:val="000000" w:themeColor="text1"/>
              </w:rPr>
            </w:pPr>
            <w:r w:rsidRPr="00C47924">
              <w:rPr>
                <w:rFonts w:ascii="Playfair Display" w:hAnsi="Playfair Display"/>
                <w:b/>
                <w:color w:val="000000" w:themeColor="text1"/>
              </w:rPr>
              <w:t>Adatvédelmi incidens</w:t>
            </w:r>
          </w:p>
        </w:tc>
        <w:tc>
          <w:tcPr>
            <w:tcW w:w="4572" w:type="dxa"/>
          </w:tcPr>
          <w:p w14:paraId="55522ABC" w14:textId="77777777"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a biztonság olyan sérülése, amely a továbbított, tárolt vagy más módon kezelt személyes adatok véletlen vagy jogellenes megsemmisítését, elvesztését, megváltoztatását, jogosulatlan közlését vagy az azokhoz való jogosulatlan hozzáférést eredményezi (GDPR 4. cikk 12.)</w:t>
            </w:r>
          </w:p>
          <w:p w14:paraId="4C3E5DCA" w14:textId="77777777" w:rsidR="00620403" w:rsidRPr="00C47924" w:rsidRDefault="00620403" w:rsidP="00D24D16">
            <w:pPr>
              <w:spacing w:line="276" w:lineRule="auto"/>
              <w:jc w:val="both"/>
              <w:rPr>
                <w:rFonts w:ascii="Playfair Display" w:hAnsi="Playfair Display"/>
                <w:color w:val="000000" w:themeColor="text1"/>
              </w:rPr>
            </w:pPr>
          </w:p>
        </w:tc>
        <w:tc>
          <w:tcPr>
            <w:tcW w:w="2649" w:type="dxa"/>
          </w:tcPr>
          <w:p w14:paraId="0FA0F304" w14:textId="77777777"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GDPR 4. cikk 12.</w:t>
            </w:r>
          </w:p>
        </w:tc>
      </w:tr>
      <w:tr w:rsidR="004A4037" w:rsidRPr="00C47924" w14:paraId="3C811C0E" w14:textId="77777777" w:rsidTr="002C220E">
        <w:tc>
          <w:tcPr>
            <w:tcW w:w="1833" w:type="dxa"/>
          </w:tcPr>
          <w:p w14:paraId="4DBF86E2" w14:textId="77777777" w:rsidR="00620403" w:rsidRPr="00C47924" w:rsidRDefault="00620403" w:rsidP="00D24D16">
            <w:pPr>
              <w:spacing w:line="276" w:lineRule="auto"/>
              <w:jc w:val="both"/>
              <w:rPr>
                <w:rFonts w:ascii="Playfair Display" w:hAnsi="Playfair Display"/>
                <w:b/>
                <w:color w:val="000000" w:themeColor="text1"/>
              </w:rPr>
            </w:pPr>
            <w:r w:rsidRPr="00C47924">
              <w:rPr>
                <w:rFonts w:ascii="Playfair Display" w:hAnsi="Playfair Display"/>
                <w:b/>
                <w:color w:val="000000" w:themeColor="text1"/>
              </w:rPr>
              <w:t>Álnevesítés</w:t>
            </w:r>
          </w:p>
        </w:tc>
        <w:tc>
          <w:tcPr>
            <w:tcW w:w="4572" w:type="dxa"/>
          </w:tcPr>
          <w:p w14:paraId="47A669E9" w14:textId="77777777"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a személyes adatok olyan módon történő kezelése, amelynek következtében további információk felhasználása nélkül többé már nem állapítható meg, hogy a személyes adat mely konkrét természetes</w:t>
            </w:r>
            <w:r w:rsidRPr="00C47924">
              <w:rPr>
                <w:rFonts w:ascii="Playfair Display" w:eastAsia="Times New Roman" w:hAnsi="Playfair Display"/>
                <w:color w:val="000000" w:themeColor="text1"/>
                <w:sz w:val="27"/>
                <w:szCs w:val="27"/>
                <w:shd w:val="clear" w:color="auto" w:fill="FFFFFF"/>
              </w:rPr>
              <w:t xml:space="preserve"> </w:t>
            </w:r>
            <w:r w:rsidRPr="00C47924">
              <w:rPr>
                <w:rFonts w:ascii="Playfair Display" w:hAnsi="Playfair Display"/>
                <w:color w:val="000000" w:themeColor="text1"/>
              </w:rPr>
              <w:t xml:space="preserve">személyre vonatkozik, feltéve hogy az ilyen további információt külön tárolják, és technikai és szervezési intézkedések megtételével biztosított, hogy azonosított vagy azonosítható </w:t>
            </w:r>
          </w:p>
          <w:p w14:paraId="5639F95E" w14:textId="77777777" w:rsidR="00620403" w:rsidRPr="00C47924" w:rsidRDefault="00620403" w:rsidP="00D24D16">
            <w:pPr>
              <w:spacing w:line="276" w:lineRule="auto"/>
              <w:jc w:val="both"/>
              <w:rPr>
                <w:rFonts w:ascii="Playfair Display" w:hAnsi="Playfair Display"/>
                <w:color w:val="000000" w:themeColor="text1"/>
              </w:rPr>
            </w:pPr>
          </w:p>
        </w:tc>
        <w:tc>
          <w:tcPr>
            <w:tcW w:w="2649" w:type="dxa"/>
          </w:tcPr>
          <w:p w14:paraId="0920704E" w14:textId="77777777"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GDPR 4. cikk 5</w:t>
            </w:r>
          </w:p>
        </w:tc>
      </w:tr>
      <w:tr w:rsidR="004A4037" w:rsidRPr="00C47924" w14:paraId="6281888C" w14:textId="77777777" w:rsidTr="002C220E">
        <w:tc>
          <w:tcPr>
            <w:tcW w:w="1833" w:type="dxa"/>
          </w:tcPr>
          <w:p w14:paraId="401E1602" w14:textId="77777777" w:rsidR="00620403" w:rsidRPr="00C47924" w:rsidRDefault="00620403" w:rsidP="00D24D16">
            <w:pPr>
              <w:spacing w:line="276" w:lineRule="auto"/>
              <w:jc w:val="both"/>
              <w:rPr>
                <w:rFonts w:ascii="Playfair Display" w:hAnsi="Playfair Display"/>
                <w:b/>
                <w:color w:val="000000" w:themeColor="text1"/>
              </w:rPr>
            </w:pPr>
            <w:r w:rsidRPr="00C47924">
              <w:rPr>
                <w:rFonts w:ascii="Playfair Display" w:hAnsi="Playfair Display"/>
                <w:b/>
                <w:color w:val="000000" w:themeColor="text1"/>
              </w:rPr>
              <w:t>Címzett</w:t>
            </w:r>
          </w:p>
        </w:tc>
        <w:tc>
          <w:tcPr>
            <w:tcW w:w="4572" w:type="dxa"/>
          </w:tcPr>
          <w:p w14:paraId="5D3F2B28" w14:textId="77777777"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 xml:space="preserve">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 </w:t>
            </w:r>
          </w:p>
          <w:p w14:paraId="5B6794F7" w14:textId="77777777" w:rsidR="00620403" w:rsidRPr="00C47924" w:rsidRDefault="00620403" w:rsidP="00D24D16">
            <w:pPr>
              <w:spacing w:line="276" w:lineRule="auto"/>
              <w:jc w:val="both"/>
              <w:rPr>
                <w:rFonts w:ascii="Playfair Display" w:hAnsi="Playfair Display"/>
                <w:color w:val="000000" w:themeColor="text1"/>
              </w:rPr>
            </w:pPr>
          </w:p>
          <w:p w14:paraId="2FCAB61A" w14:textId="77777777" w:rsidR="00620403" w:rsidRPr="00C47924" w:rsidRDefault="00620403" w:rsidP="00D24D16">
            <w:pPr>
              <w:spacing w:line="276" w:lineRule="auto"/>
              <w:jc w:val="both"/>
              <w:rPr>
                <w:rFonts w:ascii="Playfair Display" w:hAnsi="Playfair Display"/>
                <w:color w:val="000000" w:themeColor="text1"/>
              </w:rPr>
            </w:pPr>
          </w:p>
        </w:tc>
        <w:tc>
          <w:tcPr>
            <w:tcW w:w="2649" w:type="dxa"/>
          </w:tcPr>
          <w:p w14:paraId="0EB8CC47" w14:textId="77777777"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GDPR 4. cikk 9</w:t>
            </w:r>
          </w:p>
        </w:tc>
      </w:tr>
      <w:tr w:rsidR="004A4037" w:rsidRPr="00C47924" w14:paraId="7EF319D2" w14:textId="77777777" w:rsidTr="002C220E">
        <w:tc>
          <w:tcPr>
            <w:tcW w:w="1833" w:type="dxa"/>
          </w:tcPr>
          <w:p w14:paraId="1E604B03" w14:textId="77777777" w:rsidR="00620403" w:rsidRPr="00C47924" w:rsidRDefault="00620403" w:rsidP="00D24D16">
            <w:pPr>
              <w:spacing w:line="276" w:lineRule="auto"/>
              <w:jc w:val="both"/>
              <w:rPr>
                <w:rFonts w:ascii="Playfair Display" w:hAnsi="Playfair Display"/>
                <w:b/>
                <w:color w:val="000000" w:themeColor="text1"/>
              </w:rPr>
            </w:pPr>
            <w:r w:rsidRPr="00C47924">
              <w:rPr>
                <w:rFonts w:ascii="Playfair Display" w:hAnsi="Playfair Display"/>
                <w:b/>
                <w:color w:val="000000" w:themeColor="text1"/>
              </w:rPr>
              <w:t>Egészségügyi adat</w:t>
            </w:r>
          </w:p>
        </w:tc>
        <w:tc>
          <w:tcPr>
            <w:tcW w:w="4572" w:type="dxa"/>
          </w:tcPr>
          <w:p w14:paraId="6F2A77FF" w14:textId="77777777"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 xml:space="preserve">egy természetes személy testi vagy pszichikai egészségi állapotára vonatkozó személyes adat, ideértve a természetes személy számára nyújtott egészségügyi szolgáltatásokra vonatkozó olyan adatot is, amely információt hordoz a természetes személy egészségi állapotáról. </w:t>
            </w:r>
          </w:p>
        </w:tc>
        <w:tc>
          <w:tcPr>
            <w:tcW w:w="2649" w:type="dxa"/>
          </w:tcPr>
          <w:p w14:paraId="4B4A5D88" w14:textId="77777777"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GDPR 4. cikk 15.</w:t>
            </w:r>
          </w:p>
        </w:tc>
      </w:tr>
      <w:tr w:rsidR="004A4037" w:rsidRPr="00C47924" w14:paraId="36EB0CCA" w14:textId="77777777" w:rsidTr="002C220E">
        <w:tc>
          <w:tcPr>
            <w:tcW w:w="1833" w:type="dxa"/>
          </w:tcPr>
          <w:p w14:paraId="4F329150" w14:textId="77777777" w:rsidR="00620403" w:rsidRPr="00C47924" w:rsidRDefault="00620403" w:rsidP="00D24D16">
            <w:pPr>
              <w:spacing w:line="276" w:lineRule="auto"/>
              <w:jc w:val="both"/>
              <w:rPr>
                <w:rFonts w:ascii="Playfair Display" w:hAnsi="Playfair Display"/>
                <w:b/>
                <w:color w:val="000000" w:themeColor="text1"/>
              </w:rPr>
            </w:pPr>
            <w:r w:rsidRPr="00C47924">
              <w:rPr>
                <w:rFonts w:ascii="Playfair Display" w:hAnsi="Playfair Display"/>
                <w:b/>
                <w:color w:val="000000" w:themeColor="text1"/>
              </w:rPr>
              <w:t>Egészségügyi személyes adat</w:t>
            </w:r>
          </w:p>
        </w:tc>
        <w:tc>
          <w:tcPr>
            <w:tcW w:w="4572" w:type="dxa"/>
          </w:tcPr>
          <w:p w14:paraId="61FD85FF" w14:textId="77777777"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Az egészségügyi személyes adatok közé tartoznak az érintett egészségi állapotára vonatkozó olyan adatok, amelyek információt hordoznak az érintett múltbeli, jelenlegi vagy jövőbeli testi vagy pszichikai egészségi állapotáról. Ide tartoznak az alábbiak: a természetes személyre vonatkozó olyan személyes adatok, amelyeket az egyénnek a 2011/24/EU európai parlamenti és tanácsi irányelvben említett egészségügyi szolgáltatások céljából történő nyilvántartásba vétel, vagy ilyen szolgáltatások nyújtása során gyűjtöttek, a természetes személy egészségügyi célokból történő egyéni azonosítása érdekében hozzá rendelt szám, jel vagy adat, valamely testrész vagy a testet alkotó anyag - beleértve a genetikai adatokat és a biológiai mintákat is - teszteléséből</w:t>
            </w:r>
            <w:r w:rsidRPr="00C47924">
              <w:rPr>
                <w:rFonts w:ascii="Playfair Display" w:eastAsia="Times New Roman" w:hAnsi="Playfair Display"/>
                <w:color w:val="000000" w:themeColor="text1"/>
                <w:sz w:val="27"/>
                <w:szCs w:val="27"/>
                <w:shd w:val="clear" w:color="auto" w:fill="FFFFFF"/>
              </w:rPr>
              <w:t xml:space="preserve"> </w:t>
            </w:r>
            <w:r w:rsidRPr="00C47924">
              <w:rPr>
                <w:rFonts w:ascii="Playfair Display" w:hAnsi="Playfair Display"/>
                <w:color w:val="000000" w:themeColor="text1"/>
              </w:rPr>
              <w:t xml:space="preserve">vagy vizsgálatából származó információk, és bármilyen, például az érintett betegségével, fogyatékosságával, betegségkockázatával, kórtörténetével, klinikai kezelésével vagy fiziológiai vagy orvosbiológiai állapotával kapcsolatos információ, függetlenül annak forrásától, amely lehet például orvos vagy egyéb egészségügyi dolgozó, kórház, orvostechnikai eszköz vagy in vitro diagnosztikai teszt. </w:t>
            </w:r>
          </w:p>
          <w:p w14:paraId="560A82F8" w14:textId="77777777" w:rsidR="00620403" w:rsidRPr="00C47924" w:rsidRDefault="00620403" w:rsidP="00D24D16">
            <w:pPr>
              <w:spacing w:line="276" w:lineRule="auto"/>
              <w:jc w:val="both"/>
              <w:rPr>
                <w:rFonts w:ascii="Playfair Display" w:hAnsi="Playfair Display"/>
                <w:color w:val="000000" w:themeColor="text1"/>
              </w:rPr>
            </w:pPr>
          </w:p>
        </w:tc>
        <w:tc>
          <w:tcPr>
            <w:tcW w:w="2649" w:type="dxa"/>
          </w:tcPr>
          <w:p w14:paraId="6C4F3D2E" w14:textId="77777777"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GDPR (35)</w:t>
            </w:r>
          </w:p>
        </w:tc>
      </w:tr>
      <w:tr w:rsidR="004A4037" w:rsidRPr="00C47924" w14:paraId="50CD76B1" w14:textId="77777777" w:rsidTr="002C220E">
        <w:tc>
          <w:tcPr>
            <w:tcW w:w="1833" w:type="dxa"/>
          </w:tcPr>
          <w:p w14:paraId="72567D9E" w14:textId="77777777" w:rsidR="00620403" w:rsidRPr="00C47924" w:rsidRDefault="00620403" w:rsidP="00D24D16">
            <w:pPr>
              <w:spacing w:line="276" w:lineRule="auto"/>
              <w:jc w:val="both"/>
              <w:rPr>
                <w:rFonts w:ascii="Playfair Display" w:hAnsi="Playfair Display"/>
                <w:b/>
                <w:color w:val="000000" w:themeColor="text1"/>
              </w:rPr>
            </w:pPr>
            <w:r w:rsidRPr="00C47924">
              <w:rPr>
                <w:rFonts w:ascii="Playfair Display" w:hAnsi="Playfair Display"/>
                <w:b/>
                <w:color w:val="000000" w:themeColor="text1"/>
              </w:rPr>
              <w:t>Érintett hozzájárulása</w:t>
            </w:r>
          </w:p>
        </w:tc>
        <w:tc>
          <w:tcPr>
            <w:tcW w:w="4572" w:type="dxa"/>
          </w:tcPr>
          <w:p w14:paraId="7B1E073D" w14:textId="77777777"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az érintett akaratának önkéntes, konkrét és megfelelő tájékoztatáson alapuló és egyértelmű kinyilvánítása, amellyel</w:t>
            </w:r>
            <w:r w:rsidRPr="00C47924">
              <w:rPr>
                <w:rFonts w:ascii="Playfair Display" w:eastAsia="Times New Roman" w:hAnsi="Playfair Display"/>
                <w:color w:val="000000" w:themeColor="text1"/>
                <w:sz w:val="27"/>
                <w:szCs w:val="27"/>
                <w:shd w:val="clear" w:color="auto" w:fill="FFFFFF"/>
              </w:rPr>
              <w:t xml:space="preserve"> </w:t>
            </w:r>
            <w:r w:rsidRPr="00C47924">
              <w:rPr>
                <w:rFonts w:ascii="Playfair Display" w:hAnsi="Playfair Display"/>
                <w:color w:val="000000" w:themeColor="text1"/>
              </w:rPr>
              <w:t xml:space="preserve">az érintett nyilatkozat vagy a megerősítést félreérthetetlenül kifejező cselekedet útján jelzi, hogy beleegyezését adja az őt érintő személyes adatok kezeléséhez </w:t>
            </w:r>
          </w:p>
          <w:p w14:paraId="4A089E47" w14:textId="77777777" w:rsidR="00620403" w:rsidRPr="00C47924" w:rsidRDefault="00620403" w:rsidP="00D24D16">
            <w:pPr>
              <w:spacing w:line="276" w:lineRule="auto"/>
              <w:jc w:val="both"/>
              <w:rPr>
                <w:rFonts w:ascii="Playfair Display" w:hAnsi="Playfair Display"/>
                <w:color w:val="000000" w:themeColor="text1"/>
              </w:rPr>
            </w:pPr>
          </w:p>
        </w:tc>
        <w:tc>
          <w:tcPr>
            <w:tcW w:w="2649" w:type="dxa"/>
          </w:tcPr>
          <w:p w14:paraId="47ACF205" w14:textId="77777777"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GDPR 4. cikk 11.</w:t>
            </w:r>
          </w:p>
        </w:tc>
      </w:tr>
      <w:tr w:rsidR="004A4037" w:rsidRPr="00C47924" w14:paraId="53A1DD6D" w14:textId="77777777" w:rsidTr="002C220E">
        <w:tc>
          <w:tcPr>
            <w:tcW w:w="1833" w:type="dxa"/>
          </w:tcPr>
          <w:p w14:paraId="4F65E097" w14:textId="77777777" w:rsidR="00620403" w:rsidRPr="00C47924" w:rsidRDefault="00620403" w:rsidP="00D24D16">
            <w:pPr>
              <w:spacing w:line="276" w:lineRule="auto"/>
              <w:jc w:val="both"/>
              <w:rPr>
                <w:rFonts w:ascii="Playfair Display" w:hAnsi="Playfair Display"/>
                <w:b/>
                <w:color w:val="000000" w:themeColor="text1"/>
              </w:rPr>
            </w:pPr>
            <w:r w:rsidRPr="00C47924">
              <w:rPr>
                <w:rFonts w:ascii="Playfair Display" w:hAnsi="Playfair Display"/>
                <w:b/>
                <w:color w:val="000000" w:themeColor="text1"/>
              </w:rPr>
              <w:t>Harmadik fél</w:t>
            </w:r>
          </w:p>
        </w:tc>
        <w:tc>
          <w:tcPr>
            <w:tcW w:w="4572" w:type="dxa"/>
          </w:tcPr>
          <w:p w14:paraId="1265F2D3" w14:textId="77777777"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tc>
        <w:tc>
          <w:tcPr>
            <w:tcW w:w="2649" w:type="dxa"/>
          </w:tcPr>
          <w:p w14:paraId="6C2146B1" w14:textId="77777777"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GDPR 4. cikk 10.</w:t>
            </w:r>
          </w:p>
        </w:tc>
      </w:tr>
      <w:tr w:rsidR="004A4037" w:rsidRPr="00C47924" w14:paraId="03560592" w14:textId="77777777" w:rsidTr="002C220E">
        <w:tc>
          <w:tcPr>
            <w:tcW w:w="1833" w:type="dxa"/>
          </w:tcPr>
          <w:p w14:paraId="03B87272" w14:textId="77777777" w:rsidR="00620403" w:rsidRPr="00C47924" w:rsidRDefault="00620403" w:rsidP="00D24D16">
            <w:pPr>
              <w:spacing w:line="276" w:lineRule="auto"/>
              <w:jc w:val="both"/>
              <w:rPr>
                <w:rFonts w:ascii="Playfair Display" w:hAnsi="Playfair Display"/>
                <w:b/>
                <w:color w:val="000000" w:themeColor="text1"/>
              </w:rPr>
            </w:pPr>
            <w:r w:rsidRPr="00C47924">
              <w:rPr>
                <w:rFonts w:ascii="Playfair Display" w:hAnsi="Playfair Display"/>
                <w:b/>
                <w:color w:val="000000" w:themeColor="text1"/>
              </w:rPr>
              <w:t>Nyilvántartási rendszer</w:t>
            </w:r>
          </w:p>
        </w:tc>
        <w:tc>
          <w:tcPr>
            <w:tcW w:w="4572" w:type="dxa"/>
          </w:tcPr>
          <w:p w14:paraId="560B3CB4" w14:textId="77777777"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a személyes adatok bármely módon - centralizált, decentralizált vagy funkcionális vagy földrajzi szempontok szerint - tagolt állománya, amely meghatározott ismérvek alapján hozzáférhető</w:t>
            </w:r>
          </w:p>
        </w:tc>
        <w:tc>
          <w:tcPr>
            <w:tcW w:w="2649" w:type="dxa"/>
          </w:tcPr>
          <w:p w14:paraId="0824B590" w14:textId="77777777"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GDPR 4. cikk 6.</w:t>
            </w:r>
          </w:p>
        </w:tc>
      </w:tr>
      <w:tr w:rsidR="004A4037" w:rsidRPr="00C47924" w14:paraId="3C9812E8" w14:textId="77777777" w:rsidTr="002C220E">
        <w:tc>
          <w:tcPr>
            <w:tcW w:w="1833" w:type="dxa"/>
          </w:tcPr>
          <w:p w14:paraId="1620649E" w14:textId="77777777" w:rsidR="00620403" w:rsidRPr="00C47924" w:rsidRDefault="00620403" w:rsidP="00D24D16">
            <w:pPr>
              <w:spacing w:line="276" w:lineRule="auto"/>
              <w:jc w:val="both"/>
              <w:rPr>
                <w:rFonts w:ascii="Playfair Display" w:hAnsi="Playfair Display"/>
                <w:b/>
                <w:color w:val="000000" w:themeColor="text1"/>
              </w:rPr>
            </w:pPr>
            <w:r w:rsidRPr="00C47924">
              <w:rPr>
                <w:rFonts w:ascii="Playfair Display" w:hAnsi="Playfair Display"/>
                <w:b/>
                <w:color w:val="000000" w:themeColor="text1"/>
              </w:rPr>
              <w:t>Profilalkotás</w:t>
            </w:r>
          </w:p>
        </w:tc>
        <w:tc>
          <w:tcPr>
            <w:tcW w:w="4572" w:type="dxa"/>
          </w:tcPr>
          <w:p w14:paraId="73C0CC2D" w14:textId="77777777"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w:t>
            </w:r>
            <w:r w:rsidRPr="00C47924">
              <w:rPr>
                <w:rFonts w:ascii="Playfair Display" w:eastAsia="Times New Roman" w:hAnsi="Playfair Display"/>
                <w:color w:val="000000" w:themeColor="text1"/>
                <w:sz w:val="27"/>
                <w:szCs w:val="27"/>
                <w:shd w:val="clear" w:color="auto" w:fill="FFFFFF"/>
              </w:rPr>
              <w:t xml:space="preserve"> </w:t>
            </w:r>
            <w:r w:rsidRPr="00C47924">
              <w:rPr>
                <w:rFonts w:ascii="Playfair Display" w:hAnsi="Playfair Display"/>
                <w:color w:val="000000" w:themeColor="text1"/>
              </w:rPr>
              <w:t xml:space="preserve">viselkedéshez, tartózkodási helyhez vagy mozgáshoz kapcsolódó jellemzők elemzésére vagy előrejelzésére használják. </w:t>
            </w:r>
          </w:p>
          <w:p w14:paraId="4665BED4" w14:textId="77777777" w:rsidR="00620403" w:rsidRPr="00C47924" w:rsidRDefault="00620403" w:rsidP="00D24D16">
            <w:pPr>
              <w:spacing w:line="276" w:lineRule="auto"/>
              <w:jc w:val="both"/>
              <w:rPr>
                <w:rFonts w:ascii="Playfair Display" w:hAnsi="Playfair Display"/>
                <w:color w:val="000000" w:themeColor="text1"/>
              </w:rPr>
            </w:pPr>
          </w:p>
        </w:tc>
        <w:tc>
          <w:tcPr>
            <w:tcW w:w="2649" w:type="dxa"/>
          </w:tcPr>
          <w:p w14:paraId="485694D2" w14:textId="77777777"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GDPR 4. cikk 4.</w:t>
            </w:r>
          </w:p>
        </w:tc>
      </w:tr>
      <w:tr w:rsidR="00620403" w:rsidRPr="00C47924" w14:paraId="190179C6" w14:textId="77777777" w:rsidTr="002C220E">
        <w:tc>
          <w:tcPr>
            <w:tcW w:w="1833" w:type="dxa"/>
          </w:tcPr>
          <w:p w14:paraId="311A2739" w14:textId="77777777" w:rsidR="00620403" w:rsidRPr="00C47924" w:rsidRDefault="00620403" w:rsidP="00D24D16">
            <w:pPr>
              <w:spacing w:line="276" w:lineRule="auto"/>
              <w:jc w:val="both"/>
              <w:rPr>
                <w:rFonts w:ascii="Playfair Display" w:hAnsi="Playfair Display"/>
                <w:b/>
                <w:color w:val="000000" w:themeColor="text1"/>
              </w:rPr>
            </w:pPr>
            <w:r w:rsidRPr="00C47924">
              <w:rPr>
                <w:rFonts w:ascii="Playfair Display" w:hAnsi="Playfair Display"/>
                <w:b/>
                <w:color w:val="000000" w:themeColor="text1"/>
              </w:rPr>
              <w:t>Személyes adat</w:t>
            </w:r>
          </w:p>
        </w:tc>
        <w:tc>
          <w:tcPr>
            <w:tcW w:w="4572" w:type="dxa"/>
          </w:tcPr>
          <w:p w14:paraId="535F807C" w14:textId="77777777"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tc>
        <w:tc>
          <w:tcPr>
            <w:tcW w:w="2649" w:type="dxa"/>
          </w:tcPr>
          <w:p w14:paraId="11D0F987" w14:textId="77777777" w:rsidR="00620403" w:rsidRPr="00C47924" w:rsidRDefault="00620403"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GDPR 4. cikk 1.</w:t>
            </w:r>
          </w:p>
        </w:tc>
      </w:tr>
    </w:tbl>
    <w:p w14:paraId="47A533DF" w14:textId="77777777" w:rsidR="003A3A8F" w:rsidRPr="00C47924" w:rsidRDefault="003A3A8F" w:rsidP="00D24D16">
      <w:pPr>
        <w:spacing w:line="276" w:lineRule="auto"/>
        <w:jc w:val="both"/>
        <w:rPr>
          <w:rFonts w:ascii="Playfair Display" w:hAnsi="Playfair Display" w:cs="Times New Roman"/>
          <w:b/>
          <w:bCs/>
          <w:color w:val="000000" w:themeColor="text1"/>
        </w:rPr>
      </w:pPr>
    </w:p>
    <w:p w14:paraId="4A7CFA36" w14:textId="77777777" w:rsidR="00D24D16" w:rsidRDefault="00D24D16" w:rsidP="00D24D16">
      <w:pPr>
        <w:spacing w:line="276" w:lineRule="auto"/>
        <w:jc w:val="both"/>
        <w:rPr>
          <w:rFonts w:ascii="Playfair Display" w:hAnsi="Playfair Display" w:cs="Times New Roman"/>
          <w:b/>
          <w:bCs/>
          <w:color w:val="000000" w:themeColor="text1"/>
        </w:rPr>
      </w:pPr>
    </w:p>
    <w:p w14:paraId="3CDD742F" w14:textId="77777777" w:rsidR="002835FD" w:rsidRDefault="002835FD" w:rsidP="00D24D16">
      <w:pPr>
        <w:spacing w:line="276" w:lineRule="auto"/>
        <w:jc w:val="both"/>
        <w:rPr>
          <w:rFonts w:ascii="Playfair Display" w:hAnsi="Playfair Display" w:cs="Times New Roman"/>
          <w:b/>
          <w:bCs/>
          <w:color w:val="000000" w:themeColor="text1"/>
        </w:rPr>
      </w:pPr>
    </w:p>
    <w:p w14:paraId="16BEF5A9" w14:textId="77777777" w:rsidR="002835FD" w:rsidRDefault="002835FD" w:rsidP="00D24D16">
      <w:pPr>
        <w:spacing w:line="276" w:lineRule="auto"/>
        <w:jc w:val="both"/>
        <w:rPr>
          <w:rFonts w:ascii="Playfair Display" w:hAnsi="Playfair Display" w:cs="Times New Roman"/>
          <w:b/>
          <w:bCs/>
          <w:color w:val="000000" w:themeColor="text1"/>
        </w:rPr>
      </w:pPr>
    </w:p>
    <w:p w14:paraId="36E30BEB" w14:textId="77777777" w:rsidR="002835FD" w:rsidRDefault="002835FD" w:rsidP="00D24D16">
      <w:pPr>
        <w:spacing w:line="276" w:lineRule="auto"/>
        <w:jc w:val="both"/>
        <w:rPr>
          <w:rFonts w:ascii="Playfair Display" w:hAnsi="Playfair Display" w:cs="Times New Roman"/>
          <w:b/>
          <w:bCs/>
          <w:color w:val="000000" w:themeColor="text1"/>
        </w:rPr>
      </w:pPr>
    </w:p>
    <w:p w14:paraId="3F4D00B3" w14:textId="77777777" w:rsidR="002835FD" w:rsidRPr="00C47924" w:rsidRDefault="002835FD" w:rsidP="00D24D16">
      <w:pPr>
        <w:spacing w:line="276" w:lineRule="auto"/>
        <w:jc w:val="both"/>
        <w:rPr>
          <w:rFonts w:ascii="Playfair Display" w:hAnsi="Playfair Display" w:cs="Times New Roman"/>
          <w:b/>
          <w:bCs/>
          <w:color w:val="000000" w:themeColor="text1"/>
        </w:rPr>
      </w:pPr>
      <w:bookmarkStart w:id="1" w:name="_GoBack"/>
      <w:bookmarkEnd w:id="1"/>
    </w:p>
    <w:p w14:paraId="7975E06C" w14:textId="5099B0DF" w:rsidR="00620403" w:rsidRPr="00C47924" w:rsidRDefault="00620403" w:rsidP="00D24D16">
      <w:pPr>
        <w:pStyle w:val="ListParagraph"/>
        <w:numPr>
          <w:ilvl w:val="0"/>
          <w:numId w:val="1"/>
        </w:numPr>
        <w:spacing w:line="276" w:lineRule="auto"/>
        <w:jc w:val="both"/>
        <w:rPr>
          <w:rFonts w:ascii="Playfair Display" w:hAnsi="Playfair Display" w:cs="Times New Roman"/>
          <w:b/>
          <w:bCs/>
          <w:color w:val="000000" w:themeColor="text1"/>
          <w:sz w:val="24"/>
          <w:szCs w:val="24"/>
        </w:rPr>
      </w:pPr>
      <w:r w:rsidRPr="00C47924">
        <w:rPr>
          <w:rFonts w:ascii="Playfair Display" w:hAnsi="Playfair Display" w:cs="Times New Roman"/>
          <w:b/>
          <w:bCs/>
          <w:color w:val="000000" w:themeColor="text1"/>
          <w:sz w:val="24"/>
          <w:szCs w:val="24"/>
        </w:rPr>
        <w:t>Adatkezelési tevékeny</w:t>
      </w:r>
      <w:r w:rsidR="00FA74EF" w:rsidRPr="00C47924">
        <w:rPr>
          <w:rFonts w:ascii="Playfair Display" w:hAnsi="Playfair Display" w:cs="Times New Roman"/>
          <w:b/>
          <w:bCs/>
          <w:color w:val="000000" w:themeColor="text1"/>
          <w:sz w:val="24"/>
          <w:szCs w:val="24"/>
        </w:rPr>
        <w:t>s</w:t>
      </w:r>
      <w:r w:rsidRPr="00C47924">
        <w:rPr>
          <w:rFonts w:ascii="Playfair Display" w:hAnsi="Playfair Display" w:cs="Times New Roman"/>
          <w:b/>
          <w:bCs/>
          <w:color w:val="000000" w:themeColor="text1"/>
          <w:sz w:val="24"/>
          <w:szCs w:val="24"/>
        </w:rPr>
        <w:t xml:space="preserve">ég meghatározása </w:t>
      </w:r>
    </w:p>
    <w:tbl>
      <w:tblPr>
        <w:tblStyle w:val="TableGridLight"/>
        <w:tblW w:w="0" w:type="auto"/>
        <w:tblLook w:val="04A0" w:firstRow="1" w:lastRow="0" w:firstColumn="1" w:lastColumn="0" w:noHBand="0" w:noVBand="1"/>
      </w:tblPr>
      <w:tblGrid>
        <w:gridCol w:w="4527"/>
        <w:gridCol w:w="4527"/>
      </w:tblGrid>
      <w:tr w:rsidR="004A4037" w:rsidRPr="00C47924" w14:paraId="209CC407" w14:textId="77777777" w:rsidTr="00464F9C">
        <w:tc>
          <w:tcPr>
            <w:tcW w:w="9062" w:type="dxa"/>
            <w:gridSpan w:val="2"/>
            <w:shd w:val="clear" w:color="auto" w:fill="auto"/>
          </w:tcPr>
          <w:p w14:paraId="054419C1" w14:textId="1E389B97" w:rsidR="0037013B" w:rsidRPr="00C47924" w:rsidRDefault="0037013B" w:rsidP="00D24D16">
            <w:pPr>
              <w:spacing w:line="276" w:lineRule="auto"/>
              <w:jc w:val="center"/>
              <w:rPr>
                <w:rFonts w:ascii="Playfair Display" w:hAnsi="Playfair Display"/>
                <w:color w:val="000000" w:themeColor="text1"/>
              </w:rPr>
            </w:pPr>
            <w:r w:rsidRPr="00C47924">
              <w:rPr>
                <w:rFonts w:ascii="Playfair Display" w:hAnsi="Playfair Display"/>
                <w:b/>
                <w:color w:val="000000" w:themeColor="text1"/>
              </w:rPr>
              <w:t>A meghirdetett álláspályázatra történő jelentkezés</w:t>
            </w:r>
          </w:p>
        </w:tc>
      </w:tr>
      <w:tr w:rsidR="004A4037" w:rsidRPr="00C47924" w14:paraId="7AF9DF99" w14:textId="77777777" w:rsidTr="00464F9C">
        <w:tc>
          <w:tcPr>
            <w:tcW w:w="4531" w:type="dxa"/>
          </w:tcPr>
          <w:p w14:paraId="3918FBE3" w14:textId="77777777" w:rsidR="0037013B" w:rsidRPr="00C47924" w:rsidRDefault="0037013B" w:rsidP="00D24D16">
            <w:pPr>
              <w:spacing w:line="276" w:lineRule="auto"/>
              <w:jc w:val="both"/>
              <w:rPr>
                <w:rFonts w:ascii="Playfair Display" w:hAnsi="Playfair Display"/>
                <w:b/>
                <w:bCs/>
                <w:color w:val="000000" w:themeColor="text1"/>
              </w:rPr>
            </w:pPr>
            <w:r w:rsidRPr="00C47924">
              <w:rPr>
                <w:rFonts w:ascii="Playfair Display" w:hAnsi="Playfair Display"/>
                <w:b/>
                <w:bCs/>
                <w:color w:val="000000" w:themeColor="text1"/>
              </w:rPr>
              <w:t>Adatkezelés célja</w:t>
            </w:r>
          </w:p>
        </w:tc>
        <w:tc>
          <w:tcPr>
            <w:tcW w:w="4531" w:type="dxa"/>
          </w:tcPr>
          <w:p w14:paraId="28B9CCFD" w14:textId="37D21445" w:rsidR="0037013B" w:rsidRPr="00C47924" w:rsidRDefault="0037013B" w:rsidP="00D24D16">
            <w:pPr>
              <w:spacing w:line="276" w:lineRule="auto"/>
              <w:jc w:val="both"/>
              <w:rPr>
                <w:rFonts w:ascii="Playfair Display" w:hAnsi="Playfair Display"/>
                <w:bCs/>
                <w:color w:val="000000" w:themeColor="text1"/>
              </w:rPr>
            </w:pPr>
            <w:r w:rsidRPr="00C47924">
              <w:rPr>
                <w:rFonts w:ascii="Playfair Display" w:hAnsi="Playfair Display"/>
                <w:bCs/>
                <w:color w:val="000000" w:themeColor="text1"/>
              </w:rPr>
              <w:t>A munkakör betöltéséhez szükséges feltételek teljesülésének ellenőrzése a betölteni kívánt munkakör vonatkozásában</w:t>
            </w:r>
            <w:r w:rsidR="004D6C6B" w:rsidRPr="00C47924">
              <w:rPr>
                <w:rFonts w:ascii="Playfair Display" w:hAnsi="Playfair Display"/>
                <w:bCs/>
                <w:color w:val="000000" w:themeColor="text1"/>
              </w:rPr>
              <w:t>, valamint az adatkezelphöz érkező pályázatok, pályázati anyagok</w:t>
            </w:r>
            <w:r w:rsidR="003D0ABA" w:rsidRPr="00C47924">
              <w:rPr>
                <w:rFonts w:ascii="Playfair Display" w:hAnsi="Playfair Display"/>
                <w:bCs/>
                <w:color w:val="000000" w:themeColor="text1"/>
              </w:rPr>
              <w:t xml:space="preserve"> kezelése az adott pályázat elbírálásával kapcsolatban. </w:t>
            </w:r>
          </w:p>
        </w:tc>
      </w:tr>
      <w:tr w:rsidR="004A4037" w:rsidRPr="00C47924" w14:paraId="2F746C84" w14:textId="77777777" w:rsidTr="00464F9C">
        <w:tc>
          <w:tcPr>
            <w:tcW w:w="4531" w:type="dxa"/>
          </w:tcPr>
          <w:p w14:paraId="5F03DAAE" w14:textId="77777777" w:rsidR="0037013B" w:rsidRPr="00C47924" w:rsidRDefault="0037013B" w:rsidP="00D24D16">
            <w:pPr>
              <w:spacing w:line="276" w:lineRule="auto"/>
              <w:jc w:val="both"/>
              <w:rPr>
                <w:rFonts w:ascii="Playfair Display" w:hAnsi="Playfair Display"/>
                <w:b/>
                <w:bCs/>
                <w:color w:val="000000" w:themeColor="text1"/>
              </w:rPr>
            </w:pPr>
            <w:r w:rsidRPr="00C47924">
              <w:rPr>
                <w:rFonts w:ascii="Playfair Display" w:hAnsi="Playfair Display"/>
                <w:b/>
                <w:bCs/>
                <w:color w:val="000000" w:themeColor="text1"/>
              </w:rPr>
              <w:t xml:space="preserve">Kezelt adatok köre </w:t>
            </w:r>
          </w:p>
        </w:tc>
        <w:tc>
          <w:tcPr>
            <w:tcW w:w="4531" w:type="dxa"/>
          </w:tcPr>
          <w:p w14:paraId="16EF2EDB" w14:textId="7AD76A5D" w:rsidR="0037013B" w:rsidRPr="00C47924" w:rsidRDefault="0037013B"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A pályázó által az önéletrajzban megadott adatok, beleértve képzettséget és képesítést, v</w:t>
            </w:r>
            <w:r w:rsidR="00E9078F" w:rsidRPr="00C47924">
              <w:rPr>
                <w:rFonts w:ascii="Playfair Display" w:hAnsi="Playfair Display"/>
                <w:color w:val="000000" w:themeColor="text1"/>
              </w:rPr>
              <w:t>alamint kapcsolattartási adatok (telefonszám, e-mail cím)</w:t>
            </w:r>
          </w:p>
          <w:p w14:paraId="6CC39713" w14:textId="77777777" w:rsidR="0037013B" w:rsidRPr="00C47924" w:rsidRDefault="0037013B" w:rsidP="00D24D16">
            <w:pPr>
              <w:spacing w:line="276" w:lineRule="auto"/>
              <w:jc w:val="both"/>
              <w:rPr>
                <w:rFonts w:ascii="Playfair Display" w:hAnsi="Playfair Display"/>
                <w:color w:val="000000" w:themeColor="text1"/>
              </w:rPr>
            </w:pPr>
          </w:p>
          <w:p w14:paraId="70E554BB" w14:textId="77777777" w:rsidR="0037013B" w:rsidRPr="00C47924" w:rsidRDefault="0037013B" w:rsidP="00D24D16">
            <w:pPr>
              <w:spacing w:line="276" w:lineRule="auto"/>
              <w:jc w:val="both"/>
              <w:rPr>
                <w:rFonts w:ascii="Playfair Display" w:hAnsi="Playfair Display"/>
                <w:bCs/>
                <w:i/>
                <w:color w:val="000000" w:themeColor="text1"/>
              </w:rPr>
            </w:pPr>
            <w:r w:rsidRPr="00C47924">
              <w:rPr>
                <w:rFonts w:ascii="Playfair Display" w:hAnsi="Playfair Display"/>
                <w:bCs/>
                <w:i/>
                <w:color w:val="000000" w:themeColor="text1"/>
              </w:rPr>
              <w:t xml:space="preserve">A kezelt adatok forrása az Érintett </w:t>
            </w:r>
          </w:p>
          <w:p w14:paraId="28F08D96" w14:textId="77777777" w:rsidR="0037013B" w:rsidRPr="00C47924" w:rsidRDefault="0037013B" w:rsidP="00D24D16">
            <w:pPr>
              <w:spacing w:line="276" w:lineRule="auto"/>
              <w:jc w:val="both"/>
              <w:rPr>
                <w:rFonts w:ascii="Playfair Display" w:hAnsi="Playfair Display"/>
                <w:bCs/>
                <w:color w:val="000000" w:themeColor="text1"/>
              </w:rPr>
            </w:pPr>
          </w:p>
        </w:tc>
      </w:tr>
      <w:tr w:rsidR="004A4037" w:rsidRPr="00C47924" w14:paraId="10CB2410" w14:textId="77777777" w:rsidTr="00464F9C">
        <w:tc>
          <w:tcPr>
            <w:tcW w:w="4531" w:type="dxa"/>
          </w:tcPr>
          <w:p w14:paraId="2073C033" w14:textId="77777777" w:rsidR="0037013B" w:rsidRPr="00C47924" w:rsidRDefault="0037013B" w:rsidP="00D24D16">
            <w:pPr>
              <w:spacing w:line="276" w:lineRule="auto"/>
              <w:jc w:val="both"/>
              <w:rPr>
                <w:rFonts w:ascii="Playfair Display" w:hAnsi="Playfair Display"/>
                <w:b/>
                <w:bCs/>
                <w:color w:val="000000" w:themeColor="text1"/>
              </w:rPr>
            </w:pPr>
            <w:r w:rsidRPr="00C47924">
              <w:rPr>
                <w:rFonts w:ascii="Playfair Display" w:hAnsi="Playfair Display"/>
                <w:b/>
                <w:bCs/>
                <w:color w:val="000000" w:themeColor="text1"/>
              </w:rPr>
              <w:t>Adatkezelés időtartama</w:t>
            </w:r>
          </w:p>
        </w:tc>
        <w:tc>
          <w:tcPr>
            <w:tcW w:w="4531" w:type="dxa"/>
          </w:tcPr>
          <w:p w14:paraId="212EB456" w14:textId="54C54FC4" w:rsidR="00664752" w:rsidRDefault="00AD78DD" w:rsidP="001F3DF1">
            <w:pPr>
              <w:spacing w:line="276" w:lineRule="auto"/>
              <w:jc w:val="both"/>
              <w:rPr>
                <w:rFonts w:ascii="Playfair Display" w:hAnsi="Playfair Display"/>
                <w:bCs/>
                <w:color w:val="000000" w:themeColor="text1"/>
              </w:rPr>
            </w:pPr>
            <w:r w:rsidRPr="00C47924">
              <w:rPr>
                <w:rFonts w:ascii="Playfair Display" w:hAnsi="Playfair Display"/>
                <w:bCs/>
                <w:color w:val="000000" w:themeColor="text1"/>
              </w:rPr>
              <w:t xml:space="preserve">A személyes adatokat </w:t>
            </w:r>
            <w:r w:rsidR="00664752">
              <w:rPr>
                <w:rFonts w:ascii="Playfair Display" w:hAnsi="Playfair Display"/>
                <w:bCs/>
                <w:color w:val="000000" w:themeColor="text1"/>
              </w:rPr>
              <w:t>sikertelen pályázat esetén a kiválasztási folyamat lezárásától számított 6 hónap (esetleges jogviták rendezése érdekében)</w:t>
            </w:r>
            <w:r w:rsidR="00B94694">
              <w:rPr>
                <w:rFonts w:ascii="Playfair Display" w:hAnsi="Playfair Display"/>
                <w:bCs/>
                <w:color w:val="000000" w:themeColor="text1"/>
              </w:rPr>
              <w:t>, kivéve amenyiben az Érintett törlési kérelemmel él az Adatkezelő irányába, úgy azonnal köteles az Adatkezelő ezen kérelmnek eleget tenni, amely megvalósulásáról az Érintettet tájékoztatja az Adatkezelő.</w:t>
            </w:r>
          </w:p>
          <w:p w14:paraId="230C4C15" w14:textId="77777777" w:rsidR="00ED5ECA" w:rsidRDefault="00ED5ECA" w:rsidP="001F3DF1">
            <w:pPr>
              <w:spacing w:line="276" w:lineRule="auto"/>
              <w:jc w:val="both"/>
              <w:rPr>
                <w:rFonts w:ascii="Playfair Display" w:hAnsi="Playfair Display"/>
                <w:bCs/>
                <w:color w:val="000000" w:themeColor="text1"/>
              </w:rPr>
            </w:pPr>
          </w:p>
          <w:p w14:paraId="1D2B21B6" w14:textId="77777777" w:rsidR="00ED5ECA" w:rsidRPr="00ED5ECA" w:rsidRDefault="00ED5ECA" w:rsidP="00ED5ECA">
            <w:pPr>
              <w:jc w:val="both"/>
              <w:rPr>
                <w:rFonts w:ascii="Playfair Display" w:hAnsi="Playfair Display"/>
                <w:bCs/>
                <w:color w:val="000000" w:themeColor="text1"/>
              </w:rPr>
            </w:pPr>
            <w:r w:rsidRPr="00ED5ECA">
              <w:rPr>
                <w:rFonts w:ascii="Playfair Display" w:hAnsi="Playfair Display"/>
                <w:bCs/>
                <w:color w:val="000000" w:themeColor="text1"/>
              </w:rPr>
              <w:t>Amennyiben a pályázó felvételt nyer, az általa benyújtott adatok a munkaviszony létesítése céljából a munkavállalói adatkezelési szabályzatban foglaltak szerint kerülnek további kezelésre</w:t>
            </w:r>
          </w:p>
          <w:p w14:paraId="47879F83" w14:textId="77777777" w:rsidR="00ED5ECA" w:rsidRDefault="00ED5ECA" w:rsidP="001F3DF1">
            <w:pPr>
              <w:spacing w:line="276" w:lineRule="auto"/>
              <w:jc w:val="both"/>
              <w:rPr>
                <w:rFonts w:ascii="Playfair Display" w:hAnsi="Playfair Display"/>
                <w:bCs/>
                <w:color w:val="000000" w:themeColor="text1"/>
              </w:rPr>
            </w:pPr>
          </w:p>
          <w:p w14:paraId="14B221E6" w14:textId="3D166CDD" w:rsidR="00664752" w:rsidRPr="00C47924" w:rsidRDefault="00664752" w:rsidP="001F3DF1">
            <w:pPr>
              <w:spacing w:line="276" w:lineRule="auto"/>
              <w:jc w:val="both"/>
              <w:rPr>
                <w:rFonts w:ascii="Playfair Display" w:hAnsi="Playfair Display"/>
                <w:bCs/>
                <w:color w:val="000000" w:themeColor="text1"/>
              </w:rPr>
            </w:pPr>
          </w:p>
        </w:tc>
      </w:tr>
      <w:tr w:rsidR="0037013B" w:rsidRPr="00C47924" w14:paraId="2DB90102" w14:textId="77777777" w:rsidTr="00464F9C">
        <w:trPr>
          <w:trHeight w:val="376"/>
        </w:trPr>
        <w:tc>
          <w:tcPr>
            <w:tcW w:w="4531" w:type="dxa"/>
          </w:tcPr>
          <w:p w14:paraId="5C33336E" w14:textId="77777777" w:rsidR="0037013B" w:rsidRPr="00C47924" w:rsidRDefault="0037013B" w:rsidP="00D24D16">
            <w:pPr>
              <w:spacing w:line="276" w:lineRule="auto"/>
              <w:jc w:val="both"/>
              <w:rPr>
                <w:rFonts w:ascii="Playfair Display" w:hAnsi="Playfair Display"/>
                <w:b/>
                <w:bCs/>
                <w:color w:val="000000" w:themeColor="text1"/>
              </w:rPr>
            </w:pPr>
            <w:r w:rsidRPr="00C47924">
              <w:rPr>
                <w:rFonts w:ascii="Playfair Display" w:hAnsi="Playfair Display"/>
                <w:b/>
                <w:bCs/>
                <w:color w:val="000000" w:themeColor="text1"/>
              </w:rPr>
              <w:t>Adatkezelés jogalapja</w:t>
            </w:r>
          </w:p>
        </w:tc>
        <w:tc>
          <w:tcPr>
            <w:tcW w:w="4531" w:type="dxa"/>
          </w:tcPr>
          <w:p w14:paraId="110CA8EB" w14:textId="59B58CDF" w:rsidR="0037013B" w:rsidRPr="00C47924" w:rsidRDefault="00CB2A96" w:rsidP="00D24D16">
            <w:pPr>
              <w:spacing w:line="276" w:lineRule="auto"/>
              <w:jc w:val="both"/>
              <w:rPr>
                <w:rFonts w:ascii="Playfair Display" w:hAnsi="Playfair Display"/>
                <w:bCs/>
                <w:color w:val="000000" w:themeColor="text1"/>
              </w:rPr>
            </w:pPr>
            <w:r w:rsidRPr="00C47924">
              <w:rPr>
                <w:rFonts w:ascii="Playfair Display" w:hAnsi="Playfair Display"/>
                <w:color w:val="000000" w:themeColor="text1"/>
              </w:rPr>
              <w:t>GDPR 6. cikk (1) bek. a</w:t>
            </w:r>
            <w:r w:rsidR="0037013B" w:rsidRPr="00C47924">
              <w:rPr>
                <w:rFonts w:ascii="Playfair Display" w:hAnsi="Playfair Display"/>
                <w:color w:val="000000" w:themeColor="text1"/>
              </w:rPr>
              <w:t>) pont</w:t>
            </w:r>
            <w:r w:rsidRPr="00C47924">
              <w:rPr>
                <w:rFonts w:ascii="Playfair Display" w:hAnsi="Playfair Display"/>
                <w:color w:val="000000" w:themeColor="text1"/>
              </w:rPr>
              <w:t xml:space="preserve"> szerinti hozzájárulás</w:t>
            </w:r>
            <w:r w:rsidR="00ED5ECA">
              <w:rPr>
                <w:rFonts w:ascii="Playfair Display" w:hAnsi="Playfair Display"/>
                <w:color w:val="000000" w:themeColor="text1"/>
              </w:rPr>
              <w:t xml:space="preserve"> a pályázat megküldése esetén a kiválasztási szakaszban, míg GDPR 6. cikk (1) bek. f) jogos érdek a kiválasztás lezárása utáni időszakra.</w:t>
            </w:r>
          </w:p>
        </w:tc>
      </w:tr>
    </w:tbl>
    <w:p w14:paraId="5539CECD" w14:textId="77777777" w:rsidR="00620403" w:rsidRDefault="00620403" w:rsidP="00D24D16">
      <w:pPr>
        <w:spacing w:line="276" w:lineRule="auto"/>
        <w:ind w:left="360"/>
        <w:jc w:val="both"/>
        <w:rPr>
          <w:rFonts w:ascii="Playfair Display" w:hAnsi="Playfair Display" w:cs="Times New Roman"/>
          <w:b/>
          <w:bCs/>
          <w:color w:val="000000" w:themeColor="text1"/>
          <w:sz w:val="28"/>
        </w:rPr>
      </w:pPr>
    </w:p>
    <w:p w14:paraId="24EA31DD" w14:textId="77777777" w:rsidR="00ED5ECA" w:rsidRPr="00C47924" w:rsidRDefault="00ED5ECA" w:rsidP="00D24D16">
      <w:pPr>
        <w:spacing w:line="276" w:lineRule="auto"/>
        <w:ind w:left="360"/>
        <w:jc w:val="both"/>
        <w:rPr>
          <w:rFonts w:ascii="Playfair Display" w:hAnsi="Playfair Display" w:cs="Times New Roman"/>
          <w:b/>
          <w:bCs/>
          <w:color w:val="000000" w:themeColor="text1"/>
          <w:sz w:val="28"/>
        </w:rPr>
      </w:pPr>
    </w:p>
    <w:p w14:paraId="7E1FFBDB" w14:textId="270DC590" w:rsidR="00CB2A96" w:rsidRPr="00C47924" w:rsidRDefault="00CB2A96" w:rsidP="00D24D16">
      <w:pPr>
        <w:pStyle w:val="ListParagraph"/>
        <w:numPr>
          <w:ilvl w:val="0"/>
          <w:numId w:val="1"/>
        </w:numPr>
        <w:spacing w:line="276" w:lineRule="auto"/>
        <w:jc w:val="both"/>
        <w:rPr>
          <w:rFonts w:ascii="Playfair Display" w:hAnsi="Playfair Display" w:cs="Times New Roman"/>
          <w:b/>
          <w:bCs/>
          <w:color w:val="000000" w:themeColor="text1"/>
          <w:sz w:val="24"/>
        </w:rPr>
      </w:pPr>
      <w:r w:rsidRPr="00C47924">
        <w:rPr>
          <w:rFonts w:ascii="Playfair Display" w:hAnsi="Playfair Display" w:cs="Times New Roman"/>
          <w:b/>
          <w:bCs/>
          <w:color w:val="000000" w:themeColor="text1"/>
          <w:sz w:val="24"/>
        </w:rPr>
        <w:t>Adattovábbítás, adatfeldolgozó</w:t>
      </w:r>
    </w:p>
    <w:p w14:paraId="1223642F" w14:textId="182FC06A" w:rsidR="004B5D52" w:rsidRDefault="00664752" w:rsidP="00D24D16">
      <w:pPr>
        <w:spacing w:line="276" w:lineRule="auto"/>
        <w:jc w:val="both"/>
        <w:rPr>
          <w:rFonts w:ascii="Playfair Display" w:hAnsi="Playfair Display" w:cs="Times New Roman"/>
          <w:bCs/>
          <w:color w:val="000000" w:themeColor="text1"/>
        </w:rPr>
      </w:pPr>
      <w:r>
        <w:rPr>
          <w:rFonts w:ascii="Playfair Display" w:hAnsi="Playfair Display" w:cs="Times New Roman"/>
          <w:bCs/>
          <w:color w:val="000000" w:themeColor="text1"/>
        </w:rPr>
        <w:t xml:space="preserve">A </w:t>
      </w:r>
      <w:r w:rsidR="006B6BC8" w:rsidRPr="00C47924">
        <w:rPr>
          <w:rFonts w:ascii="Playfair Display" w:hAnsi="Playfair Display" w:cs="Times New Roman"/>
          <w:bCs/>
          <w:color w:val="000000" w:themeColor="text1"/>
        </w:rPr>
        <w:t>pályázó által megküldött önéletrajzot az Ada</w:t>
      </w:r>
      <w:r w:rsidR="00FA74EF" w:rsidRPr="00C47924">
        <w:rPr>
          <w:rFonts w:ascii="Playfair Display" w:hAnsi="Playfair Display" w:cs="Times New Roman"/>
          <w:bCs/>
          <w:color w:val="000000" w:themeColor="text1"/>
        </w:rPr>
        <w:t>tkezelő felelős munkatársai férhetn</w:t>
      </w:r>
      <w:r w:rsidR="006B6BC8" w:rsidRPr="00C47924">
        <w:rPr>
          <w:rFonts w:ascii="Playfair Display" w:hAnsi="Playfair Display" w:cs="Times New Roman"/>
          <w:bCs/>
          <w:color w:val="000000" w:themeColor="text1"/>
        </w:rPr>
        <w:t>ek hozzá a feladatuk ellátásához szükséges módon és mértékben.</w:t>
      </w:r>
    </w:p>
    <w:p w14:paraId="7AF567D0" w14:textId="77777777" w:rsidR="00664752" w:rsidRDefault="00664752" w:rsidP="00D24D16">
      <w:pPr>
        <w:spacing w:line="276" w:lineRule="auto"/>
        <w:jc w:val="both"/>
        <w:rPr>
          <w:rFonts w:ascii="Playfair Display" w:hAnsi="Playfair Display" w:cs="Times New Roman"/>
          <w:bCs/>
          <w:color w:val="000000" w:themeColor="text1"/>
        </w:rPr>
      </w:pPr>
    </w:p>
    <w:tbl>
      <w:tblPr>
        <w:tblStyle w:val="TableGridLight"/>
        <w:tblW w:w="0" w:type="auto"/>
        <w:tblLook w:val="04A0" w:firstRow="1" w:lastRow="0" w:firstColumn="1" w:lastColumn="0" w:noHBand="0" w:noVBand="1"/>
      </w:tblPr>
      <w:tblGrid>
        <w:gridCol w:w="3776"/>
        <w:gridCol w:w="5278"/>
      </w:tblGrid>
      <w:tr w:rsidR="00664752" w:rsidRPr="00CB01F8" w14:paraId="3F401F41" w14:textId="77777777" w:rsidTr="00464F9C">
        <w:tc>
          <w:tcPr>
            <w:tcW w:w="9062" w:type="dxa"/>
            <w:gridSpan w:val="2"/>
          </w:tcPr>
          <w:p w14:paraId="196A8DB7" w14:textId="77777777" w:rsidR="00664752" w:rsidRPr="00CB01F8" w:rsidRDefault="00664752" w:rsidP="00464F9C">
            <w:pPr>
              <w:spacing w:line="276" w:lineRule="auto"/>
              <w:jc w:val="center"/>
              <w:rPr>
                <w:rFonts w:ascii="Playfair Display" w:hAnsi="Playfair Display"/>
                <w:b/>
                <w:bCs/>
                <w:color w:val="000000" w:themeColor="text1"/>
              </w:rPr>
            </w:pPr>
            <w:r w:rsidRPr="00CB01F8">
              <w:rPr>
                <w:rFonts w:ascii="Playfair Display" w:hAnsi="Playfair Display"/>
                <w:b/>
                <w:bCs/>
                <w:color w:val="000000" w:themeColor="text1"/>
              </w:rPr>
              <w:t>Tárhely szolgáltató</w:t>
            </w:r>
          </w:p>
          <w:p w14:paraId="27CB59C8" w14:textId="77777777" w:rsidR="00664752" w:rsidRPr="00CB01F8" w:rsidRDefault="00664752" w:rsidP="00464F9C">
            <w:pPr>
              <w:spacing w:line="276" w:lineRule="auto"/>
              <w:jc w:val="center"/>
              <w:rPr>
                <w:rFonts w:ascii="Playfair Display" w:hAnsi="Playfair Display"/>
                <w:bCs/>
                <w:color w:val="000000" w:themeColor="text1"/>
              </w:rPr>
            </w:pPr>
          </w:p>
        </w:tc>
      </w:tr>
      <w:tr w:rsidR="00664752" w:rsidRPr="00CB01F8" w14:paraId="482BC2C7" w14:textId="77777777" w:rsidTr="00464F9C">
        <w:trPr>
          <w:trHeight w:val="1158"/>
        </w:trPr>
        <w:tc>
          <w:tcPr>
            <w:tcW w:w="4531" w:type="dxa"/>
          </w:tcPr>
          <w:p w14:paraId="19FBD309" w14:textId="77777777" w:rsidR="00664752" w:rsidRPr="00CB01F8" w:rsidRDefault="00664752" w:rsidP="00464F9C">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Adatkezelés célja</w:t>
            </w:r>
          </w:p>
        </w:tc>
        <w:tc>
          <w:tcPr>
            <w:tcW w:w="4531" w:type="dxa"/>
          </w:tcPr>
          <w:p w14:paraId="6CDBD29D" w14:textId="77777777" w:rsidR="00664752" w:rsidRPr="00CB01F8" w:rsidRDefault="00664752" w:rsidP="00464F9C">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Adatkezelő a weboldal folyamatos és megfelelő működőképességének biztosítása érdekében tárhely szolgáltatót vesz igénybe.</w:t>
            </w:r>
          </w:p>
        </w:tc>
      </w:tr>
      <w:tr w:rsidR="00664752" w:rsidRPr="00CB01F8" w14:paraId="2BCB5671" w14:textId="77777777" w:rsidTr="00464F9C">
        <w:trPr>
          <w:trHeight w:val="767"/>
        </w:trPr>
        <w:tc>
          <w:tcPr>
            <w:tcW w:w="4531" w:type="dxa"/>
          </w:tcPr>
          <w:p w14:paraId="51DC1BF1" w14:textId="77777777" w:rsidR="00664752" w:rsidRPr="00CB01F8" w:rsidRDefault="00664752" w:rsidP="00464F9C">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Személyes adatok köre</w:t>
            </w:r>
          </w:p>
        </w:tc>
        <w:tc>
          <w:tcPr>
            <w:tcW w:w="4531" w:type="dxa"/>
          </w:tcPr>
          <w:p w14:paraId="0428C99E" w14:textId="77777777" w:rsidR="00664752" w:rsidRPr="00CB01F8" w:rsidRDefault="00664752" w:rsidP="00464F9C">
            <w:pPr>
              <w:spacing w:line="276" w:lineRule="auto"/>
              <w:jc w:val="both"/>
              <w:rPr>
                <w:rFonts w:ascii="Playfair Display" w:hAnsi="Playfair Display"/>
                <w:bCs/>
                <w:color w:val="000000" w:themeColor="text1"/>
              </w:rPr>
            </w:pPr>
            <w:r>
              <w:rPr>
                <w:rFonts w:ascii="Playfair Display" w:hAnsi="Playfair Display"/>
                <w:bCs/>
                <w:color w:val="000000" w:themeColor="text1"/>
              </w:rPr>
              <w:t>Látogató IP-címe, látogatás időpontja, böngésző típusa</w:t>
            </w:r>
          </w:p>
        </w:tc>
      </w:tr>
      <w:tr w:rsidR="00664752" w:rsidRPr="00CB01F8" w14:paraId="68F4AF34" w14:textId="77777777" w:rsidTr="00464F9C">
        <w:tc>
          <w:tcPr>
            <w:tcW w:w="4531" w:type="dxa"/>
          </w:tcPr>
          <w:p w14:paraId="32BFEEB0" w14:textId="77777777" w:rsidR="00664752" w:rsidRPr="00CB01F8" w:rsidRDefault="00664752" w:rsidP="00464F9C">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Adatkezelés időtartama</w:t>
            </w:r>
          </w:p>
        </w:tc>
        <w:tc>
          <w:tcPr>
            <w:tcW w:w="4531" w:type="dxa"/>
          </w:tcPr>
          <w:p w14:paraId="0834B447" w14:textId="77777777" w:rsidR="00664752" w:rsidRPr="00CB01F8" w:rsidRDefault="00664752" w:rsidP="00464F9C">
            <w:pPr>
              <w:spacing w:line="276" w:lineRule="auto"/>
              <w:jc w:val="both"/>
              <w:rPr>
                <w:rFonts w:ascii="Playfair Display" w:hAnsi="Playfair Display"/>
                <w:bCs/>
                <w:color w:val="000000" w:themeColor="text1"/>
              </w:rPr>
            </w:pPr>
            <w:r>
              <w:rPr>
                <w:rFonts w:ascii="Playfair Display" w:hAnsi="Playfair Display"/>
                <w:bCs/>
                <w:color w:val="000000" w:themeColor="text1"/>
              </w:rPr>
              <w:t>Technikai naplófájl esetén 30 nap, míg üzenetküldés (árajánlatkérés) esetén 1 év</w:t>
            </w:r>
          </w:p>
        </w:tc>
      </w:tr>
      <w:tr w:rsidR="00664752" w:rsidRPr="00CB01F8" w14:paraId="18235B4E" w14:textId="77777777" w:rsidTr="00464F9C">
        <w:tc>
          <w:tcPr>
            <w:tcW w:w="4531" w:type="dxa"/>
          </w:tcPr>
          <w:p w14:paraId="0DF24C90" w14:textId="77777777" w:rsidR="00664752" w:rsidRPr="00CB01F8" w:rsidRDefault="00664752" w:rsidP="00464F9C">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Adatkezelés jogalapja</w:t>
            </w:r>
          </w:p>
        </w:tc>
        <w:tc>
          <w:tcPr>
            <w:tcW w:w="4531" w:type="dxa"/>
          </w:tcPr>
          <w:p w14:paraId="236FEEA8" w14:textId="77777777" w:rsidR="00664752" w:rsidRPr="00CB01F8" w:rsidRDefault="00664752" w:rsidP="00464F9C">
            <w:pPr>
              <w:spacing w:line="276" w:lineRule="auto"/>
              <w:jc w:val="both"/>
              <w:rPr>
                <w:rFonts w:ascii="Playfair Display" w:hAnsi="Playfair Display"/>
                <w:bCs/>
                <w:color w:val="000000" w:themeColor="text1"/>
              </w:rPr>
            </w:pPr>
            <w:r>
              <w:rPr>
                <w:rFonts w:ascii="Playfair Display" w:hAnsi="Playfair Display"/>
                <w:bCs/>
                <w:color w:val="000000" w:themeColor="text1"/>
              </w:rPr>
              <w:t>GDPR 6. cikk (1) bek. f., miszerint Adatkezelő jogos érdeke, hogy a weboldala elérhető és biztonságos legyen.</w:t>
            </w:r>
          </w:p>
        </w:tc>
      </w:tr>
      <w:tr w:rsidR="00664752" w:rsidRPr="00CB01F8" w14:paraId="0C4A24FB" w14:textId="77777777" w:rsidTr="00464F9C">
        <w:tc>
          <w:tcPr>
            <w:tcW w:w="4531" w:type="dxa"/>
          </w:tcPr>
          <w:p w14:paraId="1F7282A0" w14:textId="77777777" w:rsidR="00664752" w:rsidRPr="00CB01F8" w:rsidRDefault="00664752" w:rsidP="00464F9C">
            <w:pPr>
              <w:spacing w:line="360" w:lineRule="auto"/>
              <w:jc w:val="both"/>
              <w:rPr>
                <w:rFonts w:ascii="Playfair Display" w:hAnsi="Playfair Display"/>
                <w:b/>
                <w:bCs/>
                <w:color w:val="000000" w:themeColor="text1"/>
              </w:rPr>
            </w:pPr>
            <w:r w:rsidRPr="00CB01F8">
              <w:rPr>
                <w:rFonts w:ascii="Playfair Display" w:hAnsi="Playfair Display"/>
                <w:b/>
                <w:bCs/>
                <w:color w:val="000000" w:themeColor="text1"/>
              </w:rPr>
              <w:t>Adatfeldolgozó</w:t>
            </w:r>
          </w:p>
        </w:tc>
        <w:tc>
          <w:tcPr>
            <w:tcW w:w="4531" w:type="dxa"/>
          </w:tcPr>
          <w:p w14:paraId="0709EBF3" w14:textId="77777777" w:rsidR="00664752" w:rsidRPr="00CB01F8" w:rsidRDefault="00664752" w:rsidP="00464F9C">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 xml:space="preserve">Rackforest Kft. </w:t>
            </w:r>
          </w:p>
          <w:p w14:paraId="22AD891E" w14:textId="77777777" w:rsidR="00664752" w:rsidRPr="00CB01F8" w:rsidRDefault="00664752" w:rsidP="00464F9C">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Székhely: 1132 Budapest, Victor Hugo u.18-22.</w:t>
            </w:r>
          </w:p>
          <w:p w14:paraId="76721471" w14:textId="77777777" w:rsidR="00664752" w:rsidRPr="00CB01F8" w:rsidRDefault="00664752" w:rsidP="00464F9C">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Cg. 01-09-914549</w:t>
            </w:r>
          </w:p>
          <w:p w14:paraId="11873D5F" w14:textId="77777777" w:rsidR="00664752" w:rsidRPr="00CB01F8" w:rsidRDefault="00664752" w:rsidP="00464F9C">
            <w:pPr>
              <w:spacing w:line="276" w:lineRule="auto"/>
              <w:jc w:val="both"/>
              <w:rPr>
                <w:rFonts w:ascii="Playfair Display" w:hAnsi="Playfair Display"/>
                <w:bCs/>
                <w:color w:val="000000" w:themeColor="text1"/>
              </w:rPr>
            </w:pPr>
            <w:r w:rsidRPr="00CB01F8">
              <w:rPr>
                <w:rFonts w:ascii="Playfair Display" w:hAnsi="Playfair Display"/>
                <w:bCs/>
                <w:color w:val="000000" w:themeColor="text1"/>
              </w:rPr>
              <w:t>Adószám: 14671858-2-41</w:t>
            </w:r>
          </w:p>
        </w:tc>
      </w:tr>
      <w:tr w:rsidR="00664752" w:rsidRPr="00CB01F8" w14:paraId="7B5E80FB" w14:textId="77777777" w:rsidTr="00464F9C">
        <w:trPr>
          <w:trHeight w:val="920"/>
        </w:trPr>
        <w:tc>
          <w:tcPr>
            <w:tcW w:w="4531" w:type="dxa"/>
          </w:tcPr>
          <w:p w14:paraId="13795EE5" w14:textId="77777777" w:rsidR="00664752" w:rsidRPr="00CB01F8" w:rsidRDefault="00664752" w:rsidP="00464F9C">
            <w:pPr>
              <w:spacing w:line="360" w:lineRule="auto"/>
              <w:jc w:val="both"/>
              <w:rPr>
                <w:rFonts w:ascii="Playfair Display" w:hAnsi="Playfair Display"/>
                <w:b/>
                <w:bCs/>
                <w:color w:val="000000" w:themeColor="text1"/>
              </w:rPr>
            </w:pPr>
            <w:r>
              <w:rPr>
                <w:rFonts w:ascii="Playfair Display" w:hAnsi="Playfair Display"/>
                <w:b/>
                <w:bCs/>
                <w:color w:val="000000" w:themeColor="text1"/>
              </w:rPr>
              <w:t>Adatfeldolgozó adatvédelmi rendelkezései</w:t>
            </w:r>
          </w:p>
        </w:tc>
        <w:tc>
          <w:tcPr>
            <w:tcW w:w="4531" w:type="dxa"/>
          </w:tcPr>
          <w:p w14:paraId="323A2307" w14:textId="77777777" w:rsidR="00664752" w:rsidRPr="00CB01F8" w:rsidRDefault="00664752" w:rsidP="00464F9C">
            <w:pPr>
              <w:spacing w:line="276" w:lineRule="auto"/>
              <w:jc w:val="both"/>
              <w:rPr>
                <w:rFonts w:ascii="Playfair Display" w:hAnsi="Playfair Display"/>
                <w:bCs/>
                <w:color w:val="000000" w:themeColor="text1"/>
              </w:rPr>
            </w:pPr>
            <w:r w:rsidRPr="00376F49">
              <w:rPr>
                <w:rFonts w:ascii="Playfair Display" w:hAnsi="Playfair Display"/>
                <w:bCs/>
                <w:color w:val="000000" w:themeColor="text1"/>
              </w:rPr>
              <w:t>https://rackforest.com/kapcsolat/adatvedelmi-iranyelvek/</w:t>
            </w:r>
          </w:p>
        </w:tc>
      </w:tr>
    </w:tbl>
    <w:p w14:paraId="339C9771" w14:textId="77777777" w:rsidR="00664752" w:rsidRPr="00C47924" w:rsidRDefault="00664752" w:rsidP="00D24D16">
      <w:pPr>
        <w:spacing w:line="276" w:lineRule="auto"/>
        <w:jc w:val="both"/>
        <w:rPr>
          <w:rFonts w:ascii="Playfair Display" w:hAnsi="Playfair Display" w:cs="Times New Roman"/>
          <w:bCs/>
          <w:color w:val="000000" w:themeColor="text1"/>
        </w:rPr>
      </w:pPr>
    </w:p>
    <w:p w14:paraId="23AC3D21" w14:textId="77777777" w:rsidR="003A3A8F" w:rsidRPr="00C47924" w:rsidRDefault="003A3A8F" w:rsidP="00D24D16">
      <w:pPr>
        <w:spacing w:line="276" w:lineRule="auto"/>
        <w:jc w:val="both"/>
        <w:rPr>
          <w:rFonts w:ascii="Playfair Display" w:hAnsi="Playfair Display" w:cs="Times New Roman"/>
          <w:bCs/>
          <w:color w:val="000000" w:themeColor="text1"/>
        </w:rPr>
      </w:pPr>
    </w:p>
    <w:p w14:paraId="21B1E060" w14:textId="2C35A843" w:rsidR="003A3A8F" w:rsidRPr="00C47924" w:rsidRDefault="00A31508" w:rsidP="003A3A8F">
      <w:pPr>
        <w:pStyle w:val="ListParagraph"/>
        <w:numPr>
          <w:ilvl w:val="0"/>
          <w:numId w:val="1"/>
        </w:numPr>
        <w:spacing w:line="276" w:lineRule="auto"/>
        <w:jc w:val="both"/>
        <w:rPr>
          <w:rFonts w:ascii="Playfair Display" w:hAnsi="Playfair Display" w:cs="Times New Roman"/>
          <w:b/>
          <w:bCs/>
          <w:color w:val="000000" w:themeColor="text1"/>
          <w:sz w:val="24"/>
        </w:rPr>
      </w:pPr>
      <w:r w:rsidRPr="00C47924">
        <w:rPr>
          <w:rFonts w:ascii="Playfair Display" w:hAnsi="Playfair Display" w:cs="Times New Roman"/>
          <w:b/>
          <w:bCs/>
          <w:color w:val="000000" w:themeColor="text1"/>
          <w:sz w:val="24"/>
        </w:rPr>
        <w:t>Az Érintett adatvédelmi joga és jogorvoslati elérhetőségei</w:t>
      </w:r>
    </w:p>
    <w:p w14:paraId="716AD8E2" w14:textId="77777777" w:rsidR="00C47924" w:rsidRPr="00C47924" w:rsidRDefault="00C47924" w:rsidP="00C47924">
      <w:pPr>
        <w:spacing w:line="360" w:lineRule="auto"/>
        <w:jc w:val="both"/>
        <w:rPr>
          <w:rFonts w:ascii="Playfair Display" w:hAnsi="Playfair Display"/>
          <w:color w:val="000000" w:themeColor="text1"/>
        </w:rPr>
      </w:pPr>
      <w:r w:rsidRPr="00C47924">
        <w:rPr>
          <w:rFonts w:ascii="Playfair Display" w:hAnsi="Playfair Display"/>
          <w:color w:val="000000" w:themeColor="text1"/>
        </w:rPr>
        <w:t xml:space="preserve">Az érintett kérelmezheti az Adatkezelőtől a rá vonatkozó személyes adatokhoz való hozzáférést, azok helyesbítését, – a GDPR-ban illetve a hazai jogszabályokban meghatározottak kivételével – törlését vagy kezelésének korlátozását, tiltakozhat az ilyen személyes adatok kezelése ellen, továbbá joga van a tájékoztatáshoz és az adathordozhatósághoz. </w:t>
      </w:r>
      <w:r w:rsidRPr="00C47924" w:rsidDel="003404C5">
        <w:rPr>
          <w:rFonts w:ascii="Playfair Display" w:hAnsi="Playfair Display"/>
          <w:color w:val="000000" w:themeColor="text1"/>
        </w:rPr>
        <w:t xml:space="preserve"> </w:t>
      </w:r>
    </w:p>
    <w:p w14:paraId="2B0F39AF" w14:textId="77777777" w:rsidR="00C47924" w:rsidRPr="00C47924" w:rsidRDefault="00C47924" w:rsidP="00C47924">
      <w:pPr>
        <w:spacing w:line="360" w:lineRule="auto"/>
        <w:jc w:val="both"/>
        <w:rPr>
          <w:rFonts w:ascii="Playfair Display" w:hAnsi="Playfair Display"/>
          <w:color w:val="000000" w:themeColor="text1"/>
        </w:rPr>
      </w:pPr>
      <w:r w:rsidRPr="00C47924">
        <w:rPr>
          <w:rFonts w:ascii="Playfair Display" w:hAnsi="Playfair Display"/>
          <w:color w:val="000000" w:themeColor="text1"/>
        </w:rPr>
        <w:t xml:space="preserve">Az Adatkezelő minden, személyes adatot érintő intézkedés megtételéről az Érintettet késedelem nélkül, de legkésőbb </w:t>
      </w:r>
      <w:r w:rsidRPr="00C47924">
        <w:rPr>
          <w:rFonts w:ascii="Playfair Display" w:hAnsi="Playfair Display"/>
          <w:color w:val="000000" w:themeColor="text1"/>
          <w:u w:val="single"/>
        </w:rPr>
        <w:t xml:space="preserve">a kérelem beérkezését követő </w:t>
      </w:r>
      <w:r w:rsidRPr="00B94694">
        <w:rPr>
          <w:rFonts w:ascii="Playfair Display" w:hAnsi="Playfair Display"/>
          <w:b/>
          <w:color w:val="000000" w:themeColor="text1"/>
          <w:u w:val="single"/>
        </w:rPr>
        <w:t>egy hónapon belü</w:t>
      </w:r>
      <w:r w:rsidRPr="00B94694">
        <w:rPr>
          <w:rFonts w:ascii="Playfair Display" w:hAnsi="Playfair Display"/>
          <w:b/>
          <w:color w:val="000000" w:themeColor="text1"/>
        </w:rPr>
        <w:t>l</w:t>
      </w:r>
      <w:r w:rsidRPr="00C47924">
        <w:rPr>
          <w:rFonts w:ascii="Playfair Display" w:hAnsi="Playfair Display"/>
          <w:color w:val="000000" w:themeColor="text1"/>
        </w:rPr>
        <w:t xml:space="preserve"> tájékoztatja, ugyanakkor indokolt esetben az elintézési idő két hónappal meghosszabbítható. Ha az Adatkezelő nem tesz intézkedéseket az Érintett kérelme nyomán, késedelem nélkül, de legkésőbb a kérelem beérkezésétől számított egy hónapon belül tájékoztatja az intézkedés elmaradásának okairól, valamint arról, hogy az érintett panaszt nyújthat be a Hatóságnál, és élhet bírósági jogorvoslati jogával.</w:t>
      </w:r>
    </w:p>
    <w:tbl>
      <w:tblPr>
        <w:tblStyle w:val="TableGrid"/>
        <w:tblW w:w="9301" w:type="dxa"/>
        <w:tblLook w:val="04A0" w:firstRow="1" w:lastRow="0" w:firstColumn="1" w:lastColumn="0" w:noHBand="0" w:noVBand="1"/>
      </w:tblPr>
      <w:tblGrid>
        <w:gridCol w:w="2769"/>
        <w:gridCol w:w="6532"/>
      </w:tblGrid>
      <w:tr w:rsidR="00C47924" w:rsidRPr="00C47924" w14:paraId="7597978F" w14:textId="77777777" w:rsidTr="00464F9C">
        <w:trPr>
          <w:trHeight w:val="655"/>
        </w:trPr>
        <w:tc>
          <w:tcPr>
            <w:tcW w:w="2760" w:type="dxa"/>
          </w:tcPr>
          <w:p w14:paraId="0224B17D" w14:textId="77777777" w:rsidR="00C47924" w:rsidRPr="00C47924" w:rsidRDefault="00C47924" w:rsidP="00464F9C">
            <w:pPr>
              <w:spacing w:line="360" w:lineRule="auto"/>
              <w:jc w:val="both"/>
              <w:rPr>
                <w:rFonts w:ascii="Playfair Display" w:hAnsi="Playfair Display"/>
                <w:b/>
                <w:color w:val="000000" w:themeColor="text1"/>
                <w:sz w:val="24"/>
                <w:szCs w:val="24"/>
              </w:rPr>
            </w:pPr>
            <w:r w:rsidRPr="00C47924">
              <w:rPr>
                <w:rFonts w:ascii="Playfair Display" w:hAnsi="Playfair Display"/>
                <w:b/>
                <w:color w:val="000000" w:themeColor="text1"/>
                <w:sz w:val="24"/>
                <w:szCs w:val="24"/>
              </w:rPr>
              <w:t>Helyesbítéshez való jog</w:t>
            </w:r>
          </w:p>
        </w:tc>
        <w:tc>
          <w:tcPr>
            <w:tcW w:w="6541" w:type="dxa"/>
          </w:tcPr>
          <w:p w14:paraId="54B9C3C1" w14:textId="77777777" w:rsidR="00C47924" w:rsidRPr="00C47924" w:rsidRDefault="00C47924" w:rsidP="00464F9C">
            <w:pPr>
              <w:spacing w:line="276" w:lineRule="auto"/>
              <w:jc w:val="both"/>
              <w:rPr>
                <w:rFonts w:ascii="Playfair Display" w:hAnsi="Playfair Display"/>
                <w:color w:val="000000" w:themeColor="text1"/>
                <w:sz w:val="24"/>
                <w:szCs w:val="24"/>
              </w:rPr>
            </w:pPr>
            <w:r w:rsidRPr="00C47924">
              <w:rPr>
                <w:rFonts w:ascii="Playfair Display" w:hAnsi="Playfair Display"/>
                <w:color w:val="000000" w:themeColor="text1"/>
                <w:sz w:val="24"/>
                <w:szCs w:val="24"/>
              </w:rPr>
              <w:t>Az érintett kérelmére az Adatkezelő haladéktalanul helyesbíti a rá vonatkozó pontatlan személyes adatokat</w:t>
            </w:r>
          </w:p>
        </w:tc>
      </w:tr>
      <w:tr w:rsidR="00C47924" w:rsidRPr="00C47924" w14:paraId="32DB3A12" w14:textId="77777777" w:rsidTr="00464F9C">
        <w:trPr>
          <w:trHeight w:val="1235"/>
        </w:trPr>
        <w:tc>
          <w:tcPr>
            <w:tcW w:w="2760" w:type="dxa"/>
          </w:tcPr>
          <w:p w14:paraId="539E2EA0" w14:textId="77777777" w:rsidR="00C47924" w:rsidRPr="00C47924" w:rsidRDefault="00C47924" w:rsidP="00464F9C">
            <w:pPr>
              <w:spacing w:line="360" w:lineRule="auto"/>
              <w:jc w:val="both"/>
              <w:rPr>
                <w:rFonts w:ascii="Playfair Display" w:hAnsi="Playfair Display"/>
                <w:b/>
                <w:color w:val="000000" w:themeColor="text1"/>
                <w:sz w:val="24"/>
                <w:szCs w:val="24"/>
              </w:rPr>
            </w:pPr>
            <w:r w:rsidRPr="00C47924">
              <w:rPr>
                <w:rFonts w:ascii="Playfair Display" w:hAnsi="Playfair Display"/>
                <w:b/>
                <w:color w:val="000000" w:themeColor="text1"/>
                <w:sz w:val="24"/>
                <w:szCs w:val="24"/>
              </w:rPr>
              <w:t>Hozzáféréshez való jog</w:t>
            </w:r>
          </w:p>
        </w:tc>
        <w:tc>
          <w:tcPr>
            <w:tcW w:w="6541" w:type="dxa"/>
          </w:tcPr>
          <w:p w14:paraId="766F9CB1" w14:textId="77777777" w:rsidR="00C47924" w:rsidRPr="00C47924" w:rsidRDefault="00C47924" w:rsidP="00464F9C">
            <w:pPr>
              <w:spacing w:line="276" w:lineRule="auto"/>
              <w:jc w:val="both"/>
              <w:rPr>
                <w:rFonts w:ascii="Playfair Display" w:hAnsi="Playfair Display"/>
                <w:color w:val="000000" w:themeColor="text1"/>
                <w:sz w:val="24"/>
                <w:szCs w:val="24"/>
              </w:rPr>
            </w:pPr>
            <w:r w:rsidRPr="00C47924">
              <w:rPr>
                <w:rFonts w:ascii="Playfair Display" w:hAnsi="Playfair Display"/>
                <w:color w:val="000000" w:themeColor="text1"/>
                <w:sz w:val="24"/>
                <w:szCs w:val="24"/>
              </w:rPr>
              <w:t>Az érintett jogosult arra, hogy az adatkezelőtől visszajelzést kapjon arra vonatkozóan, hogy személyes adatainak kezelése folyamatban van-e, és ha ilyen adatkezelés folyamatban van, jogosult arra, hogy a személyes adatokhoz és a GDPR 15.cikk (1) bekezdésében meghatározott információkhoz hozzáférést kapjon</w:t>
            </w:r>
          </w:p>
        </w:tc>
      </w:tr>
      <w:tr w:rsidR="00C47924" w:rsidRPr="00C47924" w14:paraId="31305A39" w14:textId="77777777" w:rsidTr="00464F9C">
        <w:trPr>
          <w:trHeight w:val="2847"/>
        </w:trPr>
        <w:tc>
          <w:tcPr>
            <w:tcW w:w="2760" w:type="dxa"/>
          </w:tcPr>
          <w:p w14:paraId="1F4FA37A" w14:textId="77777777" w:rsidR="00C47924" w:rsidRPr="00C47924" w:rsidRDefault="00C47924" w:rsidP="00464F9C">
            <w:pPr>
              <w:spacing w:line="360" w:lineRule="auto"/>
              <w:jc w:val="both"/>
              <w:rPr>
                <w:rFonts w:ascii="Playfair Display" w:hAnsi="Playfair Display"/>
                <w:b/>
                <w:color w:val="000000" w:themeColor="text1"/>
                <w:sz w:val="24"/>
                <w:szCs w:val="24"/>
              </w:rPr>
            </w:pPr>
            <w:r w:rsidRPr="00C47924">
              <w:rPr>
                <w:rFonts w:ascii="Playfair Display" w:hAnsi="Playfair Display"/>
                <w:b/>
                <w:color w:val="000000" w:themeColor="text1"/>
                <w:sz w:val="24"/>
                <w:szCs w:val="24"/>
              </w:rPr>
              <w:t>Törléshez való jog</w:t>
            </w:r>
          </w:p>
        </w:tc>
        <w:tc>
          <w:tcPr>
            <w:tcW w:w="6541" w:type="dxa"/>
          </w:tcPr>
          <w:p w14:paraId="4D3F381E" w14:textId="77777777" w:rsidR="00C47924" w:rsidRPr="00C47924" w:rsidRDefault="00C47924" w:rsidP="00464F9C">
            <w:pPr>
              <w:spacing w:line="276" w:lineRule="auto"/>
              <w:jc w:val="both"/>
              <w:rPr>
                <w:rFonts w:ascii="Playfair Display" w:hAnsi="Playfair Display"/>
                <w:color w:val="000000" w:themeColor="text1"/>
                <w:sz w:val="24"/>
                <w:szCs w:val="24"/>
              </w:rPr>
            </w:pPr>
            <w:r w:rsidRPr="00C47924">
              <w:rPr>
                <w:rFonts w:ascii="Playfair Display" w:hAnsi="Playfair Display"/>
                <w:color w:val="000000" w:themeColor="text1"/>
                <w:sz w:val="24"/>
                <w:szCs w:val="24"/>
              </w:rPr>
              <w:t>Az érintett jogosult arra, hogy kérésére az Adatkezelő indokolatlan késedelem nélkül törölje a rá vonatkozó személyes adatokat, ha az alábbi indokok valamelyike fennáll:</w:t>
            </w:r>
          </w:p>
          <w:p w14:paraId="0D58A49A" w14:textId="77777777" w:rsidR="00C47924" w:rsidRPr="00C47924" w:rsidRDefault="00C47924" w:rsidP="00C47924">
            <w:pPr>
              <w:pStyle w:val="ListParagraph"/>
              <w:numPr>
                <w:ilvl w:val="0"/>
                <w:numId w:val="8"/>
              </w:numPr>
              <w:spacing w:line="276" w:lineRule="auto"/>
              <w:jc w:val="both"/>
              <w:rPr>
                <w:rFonts w:ascii="Playfair Display" w:hAnsi="Playfair Display"/>
                <w:color w:val="000000" w:themeColor="text1"/>
                <w:sz w:val="24"/>
                <w:szCs w:val="24"/>
              </w:rPr>
            </w:pPr>
            <w:r w:rsidRPr="00C47924">
              <w:rPr>
                <w:rFonts w:ascii="Playfair Display" w:hAnsi="Playfair Display"/>
                <w:color w:val="000000" w:themeColor="text1"/>
                <w:sz w:val="24"/>
                <w:szCs w:val="24"/>
              </w:rPr>
              <w:t>a személyes adatokra már nincs szükség abból a célból, amelyből azokat gyűjtötték vagy más módon kezelték,</w:t>
            </w:r>
          </w:p>
          <w:p w14:paraId="1CAF6949" w14:textId="77777777" w:rsidR="00C47924" w:rsidRPr="00C47924" w:rsidRDefault="00C47924" w:rsidP="00C47924">
            <w:pPr>
              <w:pStyle w:val="ListParagraph"/>
              <w:numPr>
                <w:ilvl w:val="0"/>
                <w:numId w:val="8"/>
              </w:numPr>
              <w:spacing w:line="276" w:lineRule="auto"/>
              <w:jc w:val="both"/>
              <w:rPr>
                <w:rFonts w:ascii="Playfair Display" w:hAnsi="Playfair Display"/>
                <w:color w:val="000000" w:themeColor="text1"/>
                <w:sz w:val="24"/>
                <w:szCs w:val="24"/>
              </w:rPr>
            </w:pPr>
            <w:r w:rsidRPr="00C47924">
              <w:rPr>
                <w:rFonts w:ascii="Playfair Display" w:hAnsi="Playfair Display"/>
                <w:color w:val="000000" w:themeColor="text1"/>
                <w:sz w:val="24"/>
                <w:szCs w:val="24"/>
              </w:rPr>
              <w:t>az érintett tiltakozik az adatkezelés ellen, és nincs elsőbbséget élvező jogszerű ok az adatkezelésre,</w:t>
            </w:r>
          </w:p>
          <w:p w14:paraId="1066D7FC" w14:textId="77777777" w:rsidR="00C47924" w:rsidRPr="00C47924" w:rsidRDefault="00C47924" w:rsidP="00C47924">
            <w:pPr>
              <w:pStyle w:val="ListParagraph"/>
              <w:numPr>
                <w:ilvl w:val="0"/>
                <w:numId w:val="8"/>
              </w:numPr>
              <w:spacing w:line="276" w:lineRule="auto"/>
              <w:jc w:val="both"/>
              <w:rPr>
                <w:rFonts w:ascii="Playfair Display" w:hAnsi="Playfair Display"/>
                <w:color w:val="000000" w:themeColor="text1"/>
                <w:sz w:val="24"/>
                <w:szCs w:val="24"/>
              </w:rPr>
            </w:pPr>
            <w:r w:rsidRPr="00C47924">
              <w:rPr>
                <w:rFonts w:ascii="Playfair Display" w:hAnsi="Playfair Display"/>
                <w:color w:val="000000" w:themeColor="text1"/>
                <w:sz w:val="24"/>
                <w:szCs w:val="24"/>
              </w:rPr>
              <w:t>a személyes adatokat jogellenesen kezelték,</w:t>
            </w:r>
          </w:p>
          <w:p w14:paraId="54789671" w14:textId="77777777" w:rsidR="00C47924" w:rsidRPr="00C47924" w:rsidRDefault="00C47924" w:rsidP="00C47924">
            <w:pPr>
              <w:pStyle w:val="ListParagraph"/>
              <w:numPr>
                <w:ilvl w:val="0"/>
                <w:numId w:val="8"/>
              </w:numPr>
              <w:spacing w:line="276" w:lineRule="auto"/>
              <w:jc w:val="both"/>
              <w:rPr>
                <w:rFonts w:ascii="Playfair Display" w:hAnsi="Playfair Display"/>
                <w:color w:val="000000" w:themeColor="text1"/>
                <w:sz w:val="24"/>
                <w:szCs w:val="24"/>
              </w:rPr>
            </w:pPr>
            <w:r w:rsidRPr="00C47924">
              <w:rPr>
                <w:rFonts w:ascii="Playfair Display" w:hAnsi="Playfair Display"/>
                <w:color w:val="000000" w:themeColor="text1"/>
                <w:sz w:val="24"/>
                <w:szCs w:val="24"/>
              </w:rPr>
              <w:t xml:space="preserve">a személyes adatokat az adatkezelőre alkalmazandó uniós vagy tagállami jogban előírt jogi kötelezettség teljesítéséhez törölni kell. </w:t>
            </w:r>
          </w:p>
        </w:tc>
      </w:tr>
      <w:tr w:rsidR="00C47924" w:rsidRPr="00C47924" w14:paraId="6A99F80F" w14:textId="77777777" w:rsidTr="00464F9C">
        <w:trPr>
          <w:trHeight w:val="3480"/>
        </w:trPr>
        <w:tc>
          <w:tcPr>
            <w:tcW w:w="2760" w:type="dxa"/>
          </w:tcPr>
          <w:p w14:paraId="27020923" w14:textId="77777777" w:rsidR="00C47924" w:rsidRPr="00C47924" w:rsidRDefault="00C47924" w:rsidP="00464F9C">
            <w:pPr>
              <w:spacing w:line="360" w:lineRule="auto"/>
              <w:jc w:val="both"/>
              <w:rPr>
                <w:rFonts w:ascii="Playfair Display" w:hAnsi="Playfair Display"/>
                <w:b/>
                <w:color w:val="000000" w:themeColor="text1"/>
                <w:sz w:val="24"/>
                <w:szCs w:val="24"/>
              </w:rPr>
            </w:pPr>
            <w:r w:rsidRPr="00C47924">
              <w:rPr>
                <w:rFonts w:ascii="Playfair Display" w:hAnsi="Playfair Display"/>
                <w:b/>
                <w:color w:val="000000" w:themeColor="text1"/>
                <w:sz w:val="24"/>
                <w:szCs w:val="24"/>
              </w:rPr>
              <w:t>Korlátozáshoz való jog</w:t>
            </w:r>
          </w:p>
        </w:tc>
        <w:tc>
          <w:tcPr>
            <w:tcW w:w="6541" w:type="dxa"/>
          </w:tcPr>
          <w:p w14:paraId="142541AF" w14:textId="77777777" w:rsidR="00C47924" w:rsidRPr="00C47924" w:rsidRDefault="00C47924" w:rsidP="00464F9C">
            <w:pPr>
              <w:spacing w:line="276" w:lineRule="auto"/>
              <w:jc w:val="both"/>
              <w:rPr>
                <w:rFonts w:ascii="Playfair Display" w:eastAsia="Times New Roman" w:hAnsi="Playfair Display"/>
                <w:color w:val="000000" w:themeColor="text1"/>
                <w:sz w:val="24"/>
                <w:szCs w:val="24"/>
                <w:lang w:eastAsia="hu-HU"/>
              </w:rPr>
            </w:pPr>
            <w:r w:rsidRPr="00C47924">
              <w:rPr>
                <w:rFonts w:ascii="Playfair Display" w:eastAsia="Times New Roman" w:hAnsi="Playfair Display"/>
                <w:color w:val="000000" w:themeColor="text1"/>
                <w:sz w:val="24"/>
                <w:szCs w:val="24"/>
                <w:lang w:eastAsia="hu-HU"/>
              </w:rPr>
              <w:t>Az érintett jogosult arra, hogy kérésére az Adatkezelő korlátozza az adatkezelést, ha az alábbiak valamelyike teljesül:</w:t>
            </w:r>
          </w:p>
          <w:tbl>
            <w:tblPr>
              <w:tblW w:w="4995" w:type="pct"/>
              <w:tblCellSpacing w:w="0" w:type="dxa"/>
              <w:tblCellMar>
                <w:left w:w="0" w:type="dxa"/>
                <w:right w:w="0" w:type="dxa"/>
              </w:tblCellMar>
              <w:tblLook w:val="04A0" w:firstRow="1" w:lastRow="0" w:firstColumn="1" w:lastColumn="0" w:noHBand="0" w:noVBand="1"/>
            </w:tblPr>
            <w:tblGrid>
              <w:gridCol w:w="210"/>
              <w:gridCol w:w="6100"/>
            </w:tblGrid>
            <w:tr w:rsidR="00C47924" w:rsidRPr="00C47924" w14:paraId="65247404" w14:textId="77777777" w:rsidTr="00464F9C">
              <w:trPr>
                <w:trHeight w:val="753"/>
                <w:tblCellSpacing w:w="0" w:type="dxa"/>
              </w:trPr>
              <w:tc>
                <w:tcPr>
                  <w:tcW w:w="0" w:type="auto"/>
                  <w:hideMark/>
                </w:tcPr>
                <w:p w14:paraId="7455925D" w14:textId="77777777" w:rsidR="00C47924" w:rsidRPr="00C47924" w:rsidRDefault="00C47924" w:rsidP="00464F9C">
                  <w:pPr>
                    <w:spacing w:line="276" w:lineRule="auto"/>
                    <w:jc w:val="both"/>
                    <w:rPr>
                      <w:rFonts w:ascii="Playfair Display" w:eastAsia="Times New Roman" w:hAnsi="Playfair Display"/>
                      <w:color w:val="000000" w:themeColor="text1"/>
                      <w:lang w:eastAsia="hu-HU"/>
                    </w:rPr>
                  </w:pPr>
                  <w:r w:rsidRPr="00C47924">
                    <w:rPr>
                      <w:rFonts w:ascii="Playfair Display" w:eastAsia="Times New Roman" w:hAnsi="Playfair Display"/>
                      <w:color w:val="000000" w:themeColor="text1"/>
                      <w:lang w:eastAsia="hu-HU"/>
                    </w:rPr>
                    <w:t>a)</w:t>
                  </w:r>
                </w:p>
              </w:tc>
              <w:tc>
                <w:tcPr>
                  <w:tcW w:w="0" w:type="auto"/>
                  <w:hideMark/>
                </w:tcPr>
                <w:p w14:paraId="11DCF80B" w14:textId="77777777" w:rsidR="00C47924" w:rsidRPr="00C47924" w:rsidRDefault="00C47924" w:rsidP="00464F9C">
                  <w:pPr>
                    <w:spacing w:line="276" w:lineRule="auto"/>
                    <w:jc w:val="both"/>
                    <w:rPr>
                      <w:rFonts w:ascii="Playfair Display" w:eastAsia="Times New Roman" w:hAnsi="Playfair Display"/>
                      <w:color w:val="000000" w:themeColor="text1"/>
                      <w:lang w:eastAsia="hu-HU"/>
                    </w:rPr>
                  </w:pPr>
                  <w:r w:rsidRPr="00C47924">
                    <w:rPr>
                      <w:rFonts w:ascii="Playfair Display" w:eastAsia="Times New Roman" w:hAnsi="Playfair Display"/>
                      <w:color w:val="000000" w:themeColor="text1"/>
                      <w:lang w:eastAsia="hu-HU"/>
                    </w:rPr>
                    <w:t>az érintett vitatja a személyes adatok pontosságát, ez esetben a korlátozás arra az időtartamra vonatkozik, amely lehetővé teszi, hogy az Adatkezelő ellenőrizze a személyes adatok pontosságát;</w:t>
                  </w:r>
                </w:p>
              </w:tc>
            </w:tr>
            <w:tr w:rsidR="00C47924" w:rsidRPr="00C47924" w14:paraId="6B67A1DB" w14:textId="77777777" w:rsidTr="00464F9C">
              <w:trPr>
                <w:trHeight w:val="497"/>
                <w:tblCellSpacing w:w="0" w:type="dxa"/>
              </w:trPr>
              <w:tc>
                <w:tcPr>
                  <w:tcW w:w="0" w:type="auto"/>
                  <w:hideMark/>
                </w:tcPr>
                <w:p w14:paraId="4283BC3B" w14:textId="77777777" w:rsidR="00C47924" w:rsidRPr="00C47924" w:rsidRDefault="00C47924" w:rsidP="00464F9C">
                  <w:pPr>
                    <w:spacing w:line="276" w:lineRule="auto"/>
                    <w:jc w:val="both"/>
                    <w:rPr>
                      <w:rFonts w:ascii="Playfair Display" w:eastAsia="Times New Roman" w:hAnsi="Playfair Display"/>
                      <w:color w:val="000000" w:themeColor="text1"/>
                      <w:lang w:eastAsia="hu-HU"/>
                    </w:rPr>
                  </w:pPr>
                  <w:r w:rsidRPr="00C47924">
                    <w:rPr>
                      <w:rFonts w:ascii="Playfair Display" w:eastAsia="Times New Roman" w:hAnsi="Playfair Display"/>
                      <w:color w:val="000000" w:themeColor="text1"/>
                      <w:lang w:eastAsia="hu-HU"/>
                    </w:rPr>
                    <w:t>b)</w:t>
                  </w:r>
                </w:p>
              </w:tc>
              <w:tc>
                <w:tcPr>
                  <w:tcW w:w="0" w:type="auto"/>
                  <w:hideMark/>
                </w:tcPr>
                <w:p w14:paraId="52D90A29" w14:textId="77777777" w:rsidR="00C47924" w:rsidRPr="00C47924" w:rsidRDefault="00C47924" w:rsidP="00464F9C">
                  <w:pPr>
                    <w:spacing w:line="276" w:lineRule="auto"/>
                    <w:jc w:val="both"/>
                    <w:rPr>
                      <w:rFonts w:ascii="Playfair Display" w:eastAsia="Times New Roman" w:hAnsi="Playfair Display"/>
                      <w:color w:val="000000" w:themeColor="text1"/>
                      <w:lang w:eastAsia="hu-HU"/>
                    </w:rPr>
                  </w:pPr>
                  <w:r w:rsidRPr="00C47924">
                    <w:rPr>
                      <w:rFonts w:ascii="Playfair Display" w:eastAsia="Times New Roman" w:hAnsi="Playfair Display"/>
                      <w:color w:val="000000" w:themeColor="text1"/>
                      <w:lang w:eastAsia="hu-HU"/>
                    </w:rPr>
                    <w:t>az adatkezelés jogellenes, és az érintett ellenzi az adatok törlését, és ehelyett kéri azok felhasználásának korlátozását;</w:t>
                  </w:r>
                </w:p>
              </w:tc>
            </w:tr>
            <w:tr w:rsidR="00C47924" w:rsidRPr="00C47924" w14:paraId="6135D22F" w14:textId="77777777" w:rsidTr="00464F9C">
              <w:trPr>
                <w:trHeight w:val="738"/>
                <w:tblCellSpacing w:w="0" w:type="dxa"/>
              </w:trPr>
              <w:tc>
                <w:tcPr>
                  <w:tcW w:w="0" w:type="auto"/>
                  <w:hideMark/>
                </w:tcPr>
                <w:p w14:paraId="01B93C08" w14:textId="77777777" w:rsidR="00C47924" w:rsidRPr="00C47924" w:rsidRDefault="00C47924" w:rsidP="00464F9C">
                  <w:pPr>
                    <w:spacing w:line="276" w:lineRule="auto"/>
                    <w:jc w:val="both"/>
                    <w:rPr>
                      <w:rFonts w:ascii="Playfair Display" w:eastAsia="Times New Roman" w:hAnsi="Playfair Display"/>
                      <w:color w:val="000000" w:themeColor="text1"/>
                      <w:lang w:eastAsia="hu-HU"/>
                    </w:rPr>
                  </w:pPr>
                  <w:r w:rsidRPr="00C47924">
                    <w:rPr>
                      <w:rFonts w:ascii="Playfair Display" w:eastAsia="Times New Roman" w:hAnsi="Playfair Display"/>
                      <w:color w:val="000000" w:themeColor="text1"/>
                      <w:lang w:eastAsia="hu-HU"/>
                    </w:rPr>
                    <w:t>c)</w:t>
                  </w:r>
                </w:p>
              </w:tc>
              <w:tc>
                <w:tcPr>
                  <w:tcW w:w="0" w:type="auto"/>
                  <w:hideMark/>
                </w:tcPr>
                <w:p w14:paraId="3A40C0EB" w14:textId="77777777" w:rsidR="00C47924" w:rsidRPr="00C47924" w:rsidRDefault="00C47924" w:rsidP="00464F9C">
                  <w:pPr>
                    <w:spacing w:line="276" w:lineRule="auto"/>
                    <w:jc w:val="both"/>
                    <w:rPr>
                      <w:rFonts w:ascii="Playfair Display" w:eastAsia="Times New Roman" w:hAnsi="Playfair Display"/>
                      <w:color w:val="000000" w:themeColor="text1"/>
                      <w:lang w:eastAsia="hu-HU"/>
                    </w:rPr>
                  </w:pPr>
                  <w:r w:rsidRPr="00C47924">
                    <w:rPr>
                      <w:rFonts w:ascii="Playfair Display" w:eastAsia="Times New Roman" w:hAnsi="Playfair Display"/>
                      <w:color w:val="000000" w:themeColor="text1"/>
                      <w:lang w:eastAsia="hu-HU"/>
                    </w:rPr>
                    <w:t>az Adatkezelőnek már nincs szüksége a személyes adatokra adatkezelés céljából, de az érintett igényli azokat jogi igények előterjesztéséhez, érvényesítéséhez vagy védelméhez; vagy</w:t>
                  </w:r>
                </w:p>
              </w:tc>
            </w:tr>
            <w:tr w:rsidR="00C47924" w:rsidRPr="00C47924" w14:paraId="287F90BA" w14:textId="77777777" w:rsidTr="00464F9C">
              <w:trPr>
                <w:trHeight w:val="994"/>
                <w:tblCellSpacing w:w="0" w:type="dxa"/>
              </w:trPr>
              <w:tc>
                <w:tcPr>
                  <w:tcW w:w="0" w:type="auto"/>
                  <w:hideMark/>
                </w:tcPr>
                <w:p w14:paraId="68CD4B9C" w14:textId="77777777" w:rsidR="00C47924" w:rsidRPr="00C47924" w:rsidRDefault="00C47924" w:rsidP="00464F9C">
                  <w:pPr>
                    <w:spacing w:line="276" w:lineRule="auto"/>
                    <w:jc w:val="both"/>
                    <w:rPr>
                      <w:rFonts w:ascii="Playfair Display" w:eastAsia="Times New Roman" w:hAnsi="Playfair Display"/>
                      <w:color w:val="000000" w:themeColor="text1"/>
                      <w:lang w:eastAsia="hu-HU"/>
                    </w:rPr>
                  </w:pPr>
                  <w:r w:rsidRPr="00C47924">
                    <w:rPr>
                      <w:rFonts w:ascii="Playfair Display" w:eastAsia="Times New Roman" w:hAnsi="Playfair Display"/>
                      <w:color w:val="000000" w:themeColor="text1"/>
                      <w:lang w:eastAsia="hu-HU"/>
                    </w:rPr>
                    <w:t>d)</w:t>
                  </w:r>
                </w:p>
              </w:tc>
              <w:tc>
                <w:tcPr>
                  <w:tcW w:w="0" w:type="auto"/>
                  <w:hideMark/>
                </w:tcPr>
                <w:p w14:paraId="26DA8726" w14:textId="77777777" w:rsidR="00C47924" w:rsidRPr="00C47924" w:rsidRDefault="00C47924" w:rsidP="00464F9C">
                  <w:pPr>
                    <w:spacing w:line="276" w:lineRule="auto"/>
                    <w:jc w:val="both"/>
                    <w:rPr>
                      <w:rFonts w:ascii="Playfair Display" w:eastAsia="Times New Roman" w:hAnsi="Playfair Display"/>
                      <w:color w:val="000000" w:themeColor="text1"/>
                      <w:lang w:eastAsia="hu-HU"/>
                    </w:rPr>
                  </w:pPr>
                  <w:r w:rsidRPr="00C47924">
                    <w:rPr>
                      <w:rFonts w:ascii="Playfair Display" w:eastAsia="Times New Roman" w:hAnsi="Playfair Display"/>
                      <w:color w:val="000000" w:themeColor="text1"/>
                      <w:lang w:eastAsia="hu-HU"/>
                    </w:rPr>
                    <w:t>az érintett tiltakozott az adatkezelés ellen; ez esetben a korlátozás arra az időtartamra vonatkozik, amíg megállapításra nem kerül, hogy az Adatkezelő jogos indokai elsőbbséget élveznek-e az érintett jogos indokaival szemben.</w:t>
                  </w:r>
                </w:p>
              </w:tc>
            </w:tr>
          </w:tbl>
          <w:p w14:paraId="40DFF3D5" w14:textId="77777777" w:rsidR="00C47924" w:rsidRPr="00C47924" w:rsidRDefault="00C47924" w:rsidP="00464F9C">
            <w:pPr>
              <w:spacing w:line="276" w:lineRule="auto"/>
              <w:jc w:val="both"/>
              <w:rPr>
                <w:rFonts w:ascii="Playfair Display" w:hAnsi="Playfair Display"/>
                <w:color w:val="000000" w:themeColor="text1"/>
                <w:sz w:val="24"/>
                <w:szCs w:val="24"/>
              </w:rPr>
            </w:pPr>
          </w:p>
        </w:tc>
      </w:tr>
      <w:tr w:rsidR="00C47924" w:rsidRPr="00C47924" w14:paraId="7FB2F225" w14:textId="77777777" w:rsidTr="00464F9C">
        <w:trPr>
          <w:trHeight w:val="2229"/>
        </w:trPr>
        <w:tc>
          <w:tcPr>
            <w:tcW w:w="2760" w:type="dxa"/>
          </w:tcPr>
          <w:p w14:paraId="2FCE54CE" w14:textId="77777777" w:rsidR="00C47924" w:rsidRPr="00C47924" w:rsidRDefault="00C47924" w:rsidP="00464F9C">
            <w:pPr>
              <w:spacing w:line="360" w:lineRule="auto"/>
              <w:jc w:val="both"/>
              <w:rPr>
                <w:rFonts w:ascii="Playfair Display" w:hAnsi="Playfair Display"/>
                <w:b/>
                <w:color w:val="000000" w:themeColor="text1"/>
                <w:sz w:val="24"/>
                <w:szCs w:val="24"/>
              </w:rPr>
            </w:pPr>
            <w:r w:rsidRPr="00C47924">
              <w:rPr>
                <w:rFonts w:ascii="Playfair Display" w:hAnsi="Playfair Display"/>
                <w:b/>
                <w:color w:val="000000" w:themeColor="text1"/>
                <w:sz w:val="24"/>
                <w:szCs w:val="24"/>
              </w:rPr>
              <w:t>Tiltakozáshoz való jog</w:t>
            </w:r>
          </w:p>
        </w:tc>
        <w:tc>
          <w:tcPr>
            <w:tcW w:w="6541" w:type="dxa"/>
          </w:tcPr>
          <w:p w14:paraId="19983842" w14:textId="77777777" w:rsidR="00C47924" w:rsidRPr="00C47924" w:rsidRDefault="00C47924" w:rsidP="00464F9C">
            <w:pPr>
              <w:spacing w:line="276" w:lineRule="auto"/>
              <w:jc w:val="both"/>
              <w:rPr>
                <w:rFonts w:ascii="Playfair Display" w:hAnsi="Playfair Display"/>
                <w:color w:val="000000" w:themeColor="text1"/>
                <w:sz w:val="24"/>
                <w:szCs w:val="24"/>
              </w:rPr>
            </w:pPr>
            <w:r w:rsidRPr="00C47924">
              <w:rPr>
                <w:rFonts w:ascii="Playfair Display" w:hAnsi="Playfair Display"/>
                <w:color w:val="000000" w:themeColor="text1"/>
                <w:sz w:val="24"/>
                <w:szCs w:val="24"/>
              </w:rPr>
              <w:t>Az érintett jogosult arra, hogy a saját helyzetével kapcsolatos okokból bármikor tiltakozzon személyes adatainak kezelése ellen.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tc>
      </w:tr>
      <w:tr w:rsidR="00C47924" w:rsidRPr="00C47924" w14:paraId="3A4B5EDF" w14:textId="77777777" w:rsidTr="00464F9C">
        <w:trPr>
          <w:trHeight w:val="2229"/>
        </w:trPr>
        <w:tc>
          <w:tcPr>
            <w:tcW w:w="2760" w:type="dxa"/>
          </w:tcPr>
          <w:p w14:paraId="0F008229" w14:textId="77777777" w:rsidR="00C47924" w:rsidRPr="00C47924" w:rsidRDefault="00C47924" w:rsidP="00464F9C">
            <w:pPr>
              <w:spacing w:line="360" w:lineRule="auto"/>
              <w:jc w:val="both"/>
              <w:rPr>
                <w:rFonts w:ascii="Playfair Display" w:hAnsi="Playfair Display"/>
                <w:b/>
                <w:color w:val="000000" w:themeColor="text1"/>
                <w:sz w:val="24"/>
                <w:szCs w:val="24"/>
              </w:rPr>
            </w:pPr>
            <w:r w:rsidRPr="00C47924">
              <w:rPr>
                <w:rFonts w:ascii="Playfair Display" w:hAnsi="Playfair Display"/>
                <w:b/>
                <w:color w:val="000000" w:themeColor="text1"/>
                <w:sz w:val="24"/>
                <w:szCs w:val="24"/>
              </w:rPr>
              <w:t>Adathordozhatósághoz való jog</w:t>
            </w:r>
          </w:p>
        </w:tc>
        <w:tc>
          <w:tcPr>
            <w:tcW w:w="6541" w:type="dxa"/>
          </w:tcPr>
          <w:p w14:paraId="218E172B" w14:textId="77777777" w:rsidR="00C47924" w:rsidRPr="00C47924" w:rsidRDefault="00C47924" w:rsidP="00464F9C">
            <w:pPr>
              <w:shd w:val="clear" w:color="auto" w:fill="FFFFFF"/>
              <w:spacing w:before="100" w:beforeAutospacing="1" w:after="75" w:line="276" w:lineRule="auto"/>
              <w:jc w:val="both"/>
              <w:rPr>
                <w:rFonts w:ascii="Playfair Display" w:hAnsi="Playfair Display"/>
                <w:color w:val="000000" w:themeColor="text1"/>
                <w:sz w:val="24"/>
                <w:szCs w:val="24"/>
              </w:rPr>
            </w:pPr>
            <w:r w:rsidRPr="00C47924">
              <w:rPr>
                <w:rFonts w:ascii="Playfair Display" w:hAnsi="Playfair Display"/>
                <w:color w:val="000000" w:themeColor="text1"/>
                <w:sz w:val="24"/>
                <w:szCs w:val="24"/>
              </w:rPr>
              <w:t>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631B8FE8" w14:textId="77777777" w:rsidR="00C47924" w:rsidRPr="00C47924" w:rsidRDefault="00C47924" w:rsidP="00464F9C">
            <w:pPr>
              <w:shd w:val="clear" w:color="auto" w:fill="FFFFFF"/>
              <w:spacing w:line="276" w:lineRule="auto"/>
              <w:jc w:val="both"/>
              <w:rPr>
                <w:rFonts w:ascii="Playfair Display" w:hAnsi="Playfair Display"/>
                <w:color w:val="000000" w:themeColor="text1"/>
                <w:sz w:val="24"/>
                <w:szCs w:val="24"/>
              </w:rPr>
            </w:pPr>
            <w:r w:rsidRPr="00C47924">
              <w:rPr>
                <w:rFonts w:ascii="Playfair Display" w:hAnsi="Playfair Display"/>
                <w:color w:val="000000" w:themeColor="text1"/>
                <w:sz w:val="24"/>
                <w:szCs w:val="24"/>
              </w:rPr>
              <w:t>a) az adatkezelés a 6. cikk (1) bekezdésének a) pontja vagy a 9. cikk (2) bekezdésének a) pontja szerinti hozzájáruláson, vagy a 6. cikk (1) bekezdésének b) pontja szerinti szerződésen alapul; és</w:t>
            </w:r>
          </w:p>
          <w:p w14:paraId="336C9578" w14:textId="77777777" w:rsidR="00C47924" w:rsidRPr="00C47924" w:rsidRDefault="00C47924" w:rsidP="00464F9C">
            <w:pPr>
              <w:shd w:val="clear" w:color="auto" w:fill="FFFFFF"/>
              <w:spacing w:line="276" w:lineRule="auto"/>
              <w:jc w:val="both"/>
              <w:rPr>
                <w:rFonts w:ascii="Playfair Display" w:hAnsi="Playfair Display"/>
                <w:color w:val="000000" w:themeColor="text1"/>
                <w:sz w:val="24"/>
                <w:szCs w:val="24"/>
              </w:rPr>
            </w:pPr>
            <w:r w:rsidRPr="00C47924">
              <w:rPr>
                <w:rFonts w:ascii="Playfair Display" w:hAnsi="Playfair Display"/>
                <w:color w:val="000000" w:themeColor="text1"/>
                <w:sz w:val="24"/>
                <w:szCs w:val="24"/>
              </w:rPr>
              <w:t>b) az adatkezelés automatizált módon történik.</w:t>
            </w:r>
          </w:p>
          <w:p w14:paraId="67AEDC6E" w14:textId="77777777" w:rsidR="00C47924" w:rsidRPr="00C47924" w:rsidRDefault="00C47924" w:rsidP="00464F9C">
            <w:pPr>
              <w:shd w:val="clear" w:color="auto" w:fill="FFFFFF"/>
              <w:spacing w:line="276" w:lineRule="auto"/>
              <w:jc w:val="both"/>
              <w:rPr>
                <w:rFonts w:ascii="Playfair Display" w:hAnsi="Playfair Display"/>
                <w:color w:val="000000" w:themeColor="text1"/>
                <w:sz w:val="24"/>
                <w:szCs w:val="24"/>
              </w:rPr>
            </w:pPr>
            <w:r w:rsidRPr="00C47924">
              <w:rPr>
                <w:rFonts w:ascii="Playfair Display" w:hAnsi="Playfair Display"/>
                <w:color w:val="000000" w:themeColor="text1"/>
                <w:sz w:val="24"/>
                <w:szCs w:val="24"/>
              </w:rPr>
              <w:t>(2) Az adatok hordozhatóságához való jog (1) bekezdés szerinti gyakorlása során az érintett jogosult arra, hogy - ha ez technikailag megvalósítható - kérje a személyes adatok adatkezelők közötti közvetlen továbbítását.</w:t>
            </w:r>
          </w:p>
        </w:tc>
      </w:tr>
    </w:tbl>
    <w:p w14:paraId="661A9246" w14:textId="77777777" w:rsidR="003A3A8F" w:rsidRPr="00C47924" w:rsidRDefault="003A3A8F" w:rsidP="003A3A8F">
      <w:pPr>
        <w:spacing w:line="276" w:lineRule="auto"/>
        <w:jc w:val="both"/>
        <w:rPr>
          <w:rFonts w:ascii="Playfair Display" w:hAnsi="Playfair Display" w:cs="Times New Roman"/>
          <w:bCs/>
          <w:color w:val="000000" w:themeColor="text1"/>
        </w:rPr>
      </w:pPr>
    </w:p>
    <w:p w14:paraId="59DA7FFF" w14:textId="77777777" w:rsidR="004B5D52" w:rsidRPr="00C47924" w:rsidRDefault="004B5D52" w:rsidP="00D24D16">
      <w:pPr>
        <w:spacing w:line="276" w:lineRule="auto"/>
        <w:jc w:val="both"/>
        <w:rPr>
          <w:rFonts w:ascii="Playfair Display" w:hAnsi="Playfair Display" w:cs="Times New Roman"/>
          <w:bCs/>
          <w:color w:val="000000" w:themeColor="text1"/>
          <w:sz w:val="28"/>
        </w:rPr>
      </w:pPr>
    </w:p>
    <w:p w14:paraId="5F407AAC" w14:textId="31A3FB3B" w:rsidR="004B5D52" w:rsidRPr="00C47924" w:rsidRDefault="004B5D52" w:rsidP="00D24D16">
      <w:pPr>
        <w:pStyle w:val="ListParagraph"/>
        <w:numPr>
          <w:ilvl w:val="0"/>
          <w:numId w:val="1"/>
        </w:numPr>
        <w:spacing w:line="276" w:lineRule="auto"/>
        <w:jc w:val="both"/>
        <w:rPr>
          <w:rFonts w:ascii="Playfair Display" w:hAnsi="Playfair Display" w:cs="Times New Roman"/>
          <w:bCs/>
          <w:color w:val="000000" w:themeColor="text1"/>
          <w:sz w:val="24"/>
        </w:rPr>
      </w:pPr>
      <w:r w:rsidRPr="00C47924">
        <w:rPr>
          <w:rFonts w:ascii="Playfair Display" w:hAnsi="Playfair Display" w:cs="Times New Roman"/>
          <w:b/>
          <w:color w:val="000000" w:themeColor="text1"/>
          <w:sz w:val="24"/>
        </w:rPr>
        <w:t xml:space="preserve">Panasz benyújtása a felügyeleti hatósághoz </w:t>
      </w:r>
    </w:p>
    <w:p w14:paraId="47AF014F" w14:textId="77777777" w:rsidR="004B5D52" w:rsidRPr="00C47924" w:rsidRDefault="004B5D52"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 xml:space="preserve">Amennyiben az érintettet a személyes adatok kezelésével kapcsolatban sérelem éri, panaszával a Nemzeti Adatvédelmi és Információszabadság Hatósághoz fordulhat.  </w:t>
      </w:r>
    </w:p>
    <w:p w14:paraId="1FD211F6" w14:textId="77777777" w:rsidR="004B5D52" w:rsidRPr="00C47924" w:rsidRDefault="004B5D52" w:rsidP="00D24D16">
      <w:pPr>
        <w:spacing w:line="276" w:lineRule="auto"/>
        <w:jc w:val="both"/>
        <w:rPr>
          <w:rFonts w:ascii="Playfair Display" w:hAnsi="Playfair Display"/>
          <w:color w:val="000000" w:themeColor="text1"/>
          <w:u w:val="single"/>
        </w:rPr>
      </w:pPr>
      <w:r w:rsidRPr="00C47924">
        <w:rPr>
          <w:rFonts w:ascii="Playfair Display" w:hAnsi="Playfair Display"/>
          <w:color w:val="000000" w:themeColor="text1"/>
          <w:u w:val="single"/>
        </w:rPr>
        <w:t xml:space="preserve">A hatóság elérhetősége: </w:t>
      </w:r>
    </w:p>
    <w:p w14:paraId="5907D12C" w14:textId="77777777" w:rsidR="004B5D52" w:rsidRPr="00C47924" w:rsidRDefault="004B5D52"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Hatóság neve: Nemzeti Adatvédelmi és Információszabadság Hatóság</w:t>
      </w:r>
    </w:p>
    <w:p w14:paraId="1BF077C7" w14:textId="77777777" w:rsidR="004B5D52" w:rsidRPr="00C47924" w:rsidRDefault="004B5D52"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 xml:space="preserve">E-mail: ugyfelszolgalat@naih.hu </w:t>
      </w:r>
    </w:p>
    <w:p w14:paraId="732FCB42" w14:textId="77777777" w:rsidR="004B5D52" w:rsidRPr="00C47924" w:rsidRDefault="004B5D52"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 xml:space="preserve">Telefon: +36 1 391 1400 </w:t>
      </w:r>
    </w:p>
    <w:p w14:paraId="0B958523" w14:textId="77777777" w:rsidR="004B5D52" w:rsidRPr="00C47924" w:rsidRDefault="004B5D52"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 xml:space="preserve">Postacím: 1363 Budapest, Pf.: 9. </w:t>
      </w:r>
    </w:p>
    <w:p w14:paraId="02214165" w14:textId="146C8EBA" w:rsidR="004B5D52" w:rsidRPr="00C47924" w:rsidRDefault="004B5D52"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 xml:space="preserve">Honlap: </w:t>
      </w:r>
      <w:r w:rsidR="003A3A8F" w:rsidRPr="00C47924">
        <w:rPr>
          <w:rFonts w:ascii="Playfair Display" w:hAnsi="Playfair Display"/>
          <w:color w:val="000000" w:themeColor="text1"/>
        </w:rPr>
        <w:t>www.naih.hu</w:t>
      </w:r>
    </w:p>
    <w:p w14:paraId="27C3D2E5" w14:textId="77777777" w:rsidR="003A3A8F" w:rsidRPr="00C47924" w:rsidRDefault="003A3A8F" w:rsidP="00D24D16">
      <w:pPr>
        <w:spacing w:line="276" w:lineRule="auto"/>
        <w:jc w:val="both"/>
        <w:rPr>
          <w:rFonts w:ascii="Playfair Display" w:hAnsi="Playfair Display"/>
          <w:color w:val="000000" w:themeColor="text1"/>
        </w:rPr>
      </w:pPr>
    </w:p>
    <w:p w14:paraId="50D68393" w14:textId="77777777" w:rsidR="004B5D52" w:rsidRPr="00C47924" w:rsidRDefault="004B5D52" w:rsidP="00D24D16">
      <w:pPr>
        <w:spacing w:line="276" w:lineRule="auto"/>
        <w:jc w:val="both"/>
        <w:rPr>
          <w:rFonts w:ascii="Playfair Display" w:hAnsi="Playfair Display"/>
          <w:color w:val="000000" w:themeColor="text1"/>
        </w:rPr>
      </w:pPr>
    </w:p>
    <w:p w14:paraId="50828DF9" w14:textId="0E09D5B8" w:rsidR="004B5D52" w:rsidRPr="00C47924" w:rsidRDefault="004B5D52" w:rsidP="00D24D16">
      <w:pPr>
        <w:pStyle w:val="ListParagraph"/>
        <w:numPr>
          <w:ilvl w:val="0"/>
          <w:numId w:val="1"/>
        </w:numPr>
        <w:spacing w:line="276" w:lineRule="auto"/>
        <w:jc w:val="both"/>
        <w:rPr>
          <w:rFonts w:ascii="Playfair Display" w:hAnsi="Playfair Display" w:cs="Times New Roman"/>
          <w:b/>
          <w:color w:val="000000" w:themeColor="text1"/>
          <w:sz w:val="24"/>
        </w:rPr>
      </w:pPr>
      <w:r w:rsidRPr="00C47924">
        <w:rPr>
          <w:rFonts w:ascii="Playfair Display" w:hAnsi="Playfair Display" w:cs="Times New Roman"/>
          <w:b/>
          <w:color w:val="000000" w:themeColor="text1"/>
          <w:sz w:val="24"/>
        </w:rPr>
        <w:t>Panasz benyújtása a bírósághoz</w:t>
      </w:r>
    </w:p>
    <w:p w14:paraId="4D886C91" w14:textId="77777777" w:rsidR="004B5D52" w:rsidRPr="00C47924" w:rsidRDefault="004B5D52"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Az érintettnek lehetősége van adatainak védelme érdekében bírósághoz fordulni. Az érintett választása szerint a lakóhelye vagy a tartózkodási helye szerinti illetékes, vagy az Adatkezelő székhelye szerinti illetékes törvényszéknél nyújthatja be keresetét. A bírósági eljárás soron kívül történik.</w:t>
      </w:r>
    </w:p>
    <w:p w14:paraId="445EAB2D" w14:textId="77777777" w:rsidR="004B5D52" w:rsidRPr="00C47924" w:rsidRDefault="004B5D52" w:rsidP="00D24D16">
      <w:pPr>
        <w:spacing w:line="276" w:lineRule="auto"/>
        <w:jc w:val="both"/>
        <w:rPr>
          <w:rFonts w:ascii="Playfair Display" w:hAnsi="Playfair Display"/>
          <w:color w:val="000000" w:themeColor="text1"/>
        </w:rPr>
      </w:pPr>
    </w:p>
    <w:p w14:paraId="0CF045AE" w14:textId="7B8F1136" w:rsidR="004B5D52" w:rsidRPr="00C47924" w:rsidRDefault="004B5D52" w:rsidP="00D24D16">
      <w:pPr>
        <w:pStyle w:val="ListParagraph"/>
        <w:numPr>
          <w:ilvl w:val="0"/>
          <w:numId w:val="1"/>
        </w:numPr>
        <w:spacing w:line="276" w:lineRule="auto"/>
        <w:jc w:val="both"/>
        <w:rPr>
          <w:rFonts w:ascii="Playfair Display" w:hAnsi="Playfair Display"/>
          <w:b/>
          <w:color w:val="000000" w:themeColor="text1"/>
          <w:sz w:val="24"/>
        </w:rPr>
      </w:pPr>
      <w:r w:rsidRPr="00C47924">
        <w:rPr>
          <w:rFonts w:ascii="Playfair Display" w:hAnsi="Playfair Display" w:cs="Times New Roman"/>
          <w:b/>
          <w:bCs/>
          <w:color w:val="000000" w:themeColor="text1"/>
          <w:sz w:val="24"/>
        </w:rPr>
        <w:t xml:space="preserve">Egyéb rendelkezések </w:t>
      </w:r>
    </w:p>
    <w:p w14:paraId="3A945022" w14:textId="4BA1D6E0" w:rsidR="004B5D52" w:rsidRPr="00C47924" w:rsidRDefault="004B5D52" w:rsidP="00D24D16">
      <w:pPr>
        <w:spacing w:line="276" w:lineRule="auto"/>
        <w:jc w:val="both"/>
        <w:rPr>
          <w:rFonts w:ascii="Playfair Display" w:hAnsi="Playfair Display"/>
          <w:color w:val="000000" w:themeColor="text1"/>
        </w:rPr>
      </w:pPr>
      <w:r w:rsidRPr="00C47924">
        <w:rPr>
          <w:rFonts w:ascii="Playfair Display" w:hAnsi="Playfair Display"/>
          <w:color w:val="000000" w:themeColor="text1"/>
        </w:rPr>
        <w:t xml:space="preserve">Adatkezelő fenntartja azon jogát, hogy a jelen szabályzatot egyoldalúan </w:t>
      </w:r>
      <w:r w:rsidR="00B008C6" w:rsidRPr="00C47924">
        <w:rPr>
          <w:rFonts w:ascii="Playfair Display" w:hAnsi="Playfair Display"/>
          <w:color w:val="000000" w:themeColor="text1"/>
        </w:rPr>
        <w:t xml:space="preserve">módosítsa. </w:t>
      </w:r>
    </w:p>
    <w:sectPr w:rsidR="004B5D52" w:rsidRPr="00C47924" w:rsidSect="003855C6">
      <w:headerReference w:type="default" r:id="rId7"/>
      <w:pgSz w:w="11900" w:h="16840"/>
      <w:pgMar w:top="1418" w:right="1418" w:bottom="1418" w:left="1418" w:header="624" w:footer="720" w:gutter="0"/>
      <w:cols w:space="708"/>
      <w:docGrid w:linePitch="60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2FEF0" w14:textId="77777777" w:rsidR="009F65CB" w:rsidRDefault="009F65CB" w:rsidP="00620403">
      <w:r>
        <w:separator/>
      </w:r>
    </w:p>
  </w:endnote>
  <w:endnote w:type="continuationSeparator" w:id="0">
    <w:p w14:paraId="13A4E427" w14:textId="77777777" w:rsidR="009F65CB" w:rsidRDefault="009F65CB" w:rsidP="0062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Playfair Display">
    <w:panose1 w:val="00000000000000000000"/>
    <w:charset w:val="00"/>
    <w:family w:val="auto"/>
    <w:pitch w:val="variable"/>
    <w:sig w:usb0="A00002FF" w:usb1="4000207A" w:usb2="00000000" w:usb3="00000000" w:csb0="00000097"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F94DD" w14:textId="77777777" w:rsidR="009F65CB" w:rsidRDefault="009F65CB" w:rsidP="00620403">
      <w:r>
        <w:separator/>
      </w:r>
    </w:p>
  </w:footnote>
  <w:footnote w:type="continuationSeparator" w:id="0">
    <w:p w14:paraId="3D95DAD0" w14:textId="77777777" w:rsidR="009F65CB" w:rsidRDefault="009F65CB" w:rsidP="0062040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B4242" w14:textId="5A1F064F" w:rsidR="00620403" w:rsidRDefault="00620403" w:rsidP="0039789A">
    <w:pPr>
      <w:pStyle w:val="Header"/>
      <w:jc w:val="center"/>
    </w:pPr>
  </w:p>
  <w:p w14:paraId="04C9B845" w14:textId="1730FAC1" w:rsidR="00620403" w:rsidRDefault="004A4037" w:rsidP="00620403">
    <w:pPr>
      <w:pStyle w:val="Header"/>
    </w:pPr>
    <w:r>
      <w:rPr>
        <w:noProof/>
      </w:rPr>
      <w:drawing>
        <wp:inline distT="0" distB="0" distL="0" distR="0" wp14:anchorId="7A5D2C72" wp14:editId="54DF579D">
          <wp:extent cx="5751195" cy="1155065"/>
          <wp:effectExtent l="0" t="0" r="0" b="0"/>
          <wp:docPr id="1" name="Picture 1" descr="/Users/Dori/Documents/Future Management/8463482902_1713136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Dori/Documents/Future Management/8463482902_171313673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1195" cy="1155065"/>
                  </a:xfrm>
                  <a:prstGeom prst="rect">
                    <a:avLst/>
                  </a:prstGeom>
                  <a:noFill/>
                  <a:ln>
                    <a:noFill/>
                  </a:ln>
                </pic:spPr>
              </pic:pic>
            </a:graphicData>
          </a:graphic>
        </wp:inline>
      </w:drawing>
    </w:r>
  </w:p>
  <w:p w14:paraId="49AEDDD2" w14:textId="77777777" w:rsidR="00620403" w:rsidRDefault="00620403" w:rsidP="00620403">
    <w:pPr>
      <w:pStyle w:val="Header"/>
    </w:pPr>
  </w:p>
  <w:p w14:paraId="5480A851" w14:textId="77777777" w:rsidR="00620403" w:rsidRPr="00620403" w:rsidRDefault="00620403" w:rsidP="0062040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551C6"/>
    <w:multiLevelType w:val="hybridMultilevel"/>
    <w:tmpl w:val="507AE5C6"/>
    <w:lvl w:ilvl="0" w:tplc="93AE22A2">
      <w:start w:val="1"/>
      <w:numFmt w:val="upperRoman"/>
      <w:lvlText w:val="%1."/>
      <w:lvlJc w:val="left"/>
      <w:pPr>
        <w:ind w:left="1080" w:hanging="720"/>
      </w:pPr>
      <w:rPr>
        <w:rFonts w:hint="default"/>
        <w:b/>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46EC09BF"/>
    <w:multiLevelType w:val="hybridMultilevel"/>
    <w:tmpl w:val="26665F80"/>
    <w:lvl w:ilvl="0" w:tplc="0F022F34">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FE77D4"/>
    <w:multiLevelType w:val="hybridMultilevel"/>
    <w:tmpl w:val="8C5E8CBA"/>
    <w:lvl w:ilvl="0" w:tplc="B86C88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DD13A5"/>
    <w:multiLevelType w:val="hybridMultilevel"/>
    <w:tmpl w:val="6F20958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69EA1053"/>
    <w:multiLevelType w:val="hybridMultilevel"/>
    <w:tmpl w:val="FC2253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6A226EE9"/>
    <w:multiLevelType w:val="hybridMultilevel"/>
    <w:tmpl w:val="CECC11E2"/>
    <w:lvl w:ilvl="0" w:tplc="3A123B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F165F8"/>
    <w:multiLevelType w:val="hybridMultilevel"/>
    <w:tmpl w:val="A5B828EC"/>
    <w:lvl w:ilvl="0" w:tplc="D06AF452">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D700EE9"/>
    <w:multiLevelType w:val="hybridMultilevel"/>
    <w:tmpl w:val="2AC63A1E"/>
    <w:lvl w:ilvl="0" w:tplc="1F14CE1C">
      <w:start w:val="3"/>
      <w:numFmt w:val="bullet"/>
      <w:lvlText w:val="-"/>
      <w:lvlJc w:val="left"/>
      <w:pPr>
        <w:ind w:left="720" w:hanging="360"/>
      </w:pPr>
      <w:rPr>
        <w:rFonts w:ascii="Garamond" w:eastAsiaTheme="minorHAnsi" w:hAnsi="Garamond" w:cstheme="minorBidi" w:hint="default"/>
        <w:color w:val="897C6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2"/>
  </w:num>
  <w:num w:numId="5">
    <w:abstractNumId w:val="1"/>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403"/>
    <w:rsid w:val="00007F8C"/>
    <w:rsid w:val="00132654"/>
    <w:rsid w:val="001546E8"/>
    <w:rsid w:val="001B14D9"/>
    <w:rsid w:val="001F3DF1"/>
    <w:rsid w:val="0022013F"/>
    <w:rsid w:val="002835FD"/>
    <w:rsid w:val="00297ACB"/>
    <w:rsid w:val="002C220E"/>
    <w:rsid w:val="002D5010"/>
    <w:rsid w:val="0037013B"/>
    <w:rsid w:val="003855C6"/>
    <w:rsid w:val="0039789A"/>
    <w:rsid w:val="003A3A8F"/>
    <w:rsid w:val="003D0ABA"/>
    <w:rsid w:val="004067B7"/>
    <w:rsid w:val="00455E7A"/>
    <w:rsid w:val="004A4037"/>
    <w:rsid w:val="004B5D52"/>
    <w:rsid w:val="004D6C6B"/>
    <w:rsid w:val="005340EA"/>
    <w:rsid w:val="00594E08"/>
    <w:rsid w:val="005B1F39"/>
    <w:rsid w:val="00620403"/>
    <w:rsid w:val="00664752"/>
    <w:rsid w:val="006B59A5"/>
    <w:rsid w:val="006B6BC8"/>
    <w:rsid w:val="00770BCB"/>
    <w:rsid w:val="008D0437"/>
    <w:rsid w:val="009F65CB"/>
    <w:rsid w:val="00A31508"/>
    <w:rsid w:val="00A71FB3"/>
    <w:rsid w:val="00AC3577"/>
    <w:rsid w:val="00AD78DD"/>
    <w:rsid w:val="00AE3B82"/>
    <w:rsid w:val="00B008C6"/>
    <w:rsid w:val="00B10B93"/>
    <w:rsid w:val="00B94694"/>
    <w:rsid w:val="00C22D73"/>
    <w:rsid w:val="00C47924"/>
    <w:rsid w:val="00CB2A96"/>
    <w:rsid w:val="00CC1B63"/>
    <w:rsid w:val="00D24D16"/>
    <w:rsid w:val="00D601B2"/>
    <w:rsid w:val="00D75B7B"/>
    <w:rsid w:val="00E428C6"/>
    <w:rsid w:val="00E9078F"/>
    <w:rsid w:val="00ED5ECA"/>
    <w:rsid w:val="00F41CE3"/>
    <w:rsid w:val="00FA185A"/>
    <w:rsid w:val="00FA56A1"/>
    <w:rsid w:val="00FA7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D619C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403"/>
    <w:pPr>
      <w:tabs>
        <w:tab w:val="center" w:pos="4536"/>
        <w:tab w:val="right" w:pos="9072"/>
      </w:tabs>
    </w:pPr>
  </w:style>
  <w:style w:type="character" w:customStyle="1" w:styleId="HeaderChar">
    <w:name w:val="Header Char"/>
    <w:basedOn w:val="DefaultParagraphFont"/>
    <w:link w:val="Header"/>
    <w:uiPriority w:val="99"/>
    <w:rsid w:val="00620403"/>
  </w:style>
  <w:style w:type="paragraph" w:styleId="Footer">
    <w:name w:val="footer"/>
    <w:basedOn w:val="Normal"/>
    <w:link w:val="FooterChar"/>
    <w:uiPriority w:val="99"/>
    <w:unhideWhenUsed/>
    <w:rsid w:val="00620403"/>
    <w:pPr>
      <w:tabs>
        <w:tab w:val="center" w:pos="4536"/>
        <w:tab w:val="right" w:pos="9072"/>
      </w:tabs>
    </w:pPr>
  </w:style>
  <w:style w:type="character" w:customStyle="1" w:styleId="FooterChar">
    <w:name w:val="Footer Char"/>
    <w:basedOn w:val="DefaultParagraphFont"/>
    <w:link w:val="Footer"/>
    <w:uiPriority w:val="99"/>
    <w:rsid w:val="00620403"/>
  </w:style>
  <w:style w:type="paragraph" w:styleId="ListParagraph">
    <w:name w:val="List Paragraph"/>
    <w:basedOn w:val="Normal"/>
    <w:uiPriority w:val="34"/>
    <w:qFormat/>
    <w:rsid w:val="00620403"/>
    <w:pPr>
      <w:spacing w:after="160" w:line="259" w:lineRule="auto"/>
      <w:ind w:left="720"/>
      <w:contextualSpacing/>
    </w:pPr>
    <w:rPr>
      <w:sz w:val="22"/>
      <w:szCs w:val="22"/>
      <w:lang w:val="hu-HU"/>
    </w:rPr>
  </w:style>
  <w:style w:type="table" w:styleId="TableGrid">
    <w:name w:val="Table Grid"/>
    <w:basedOn w:val="TableNormal"/>
    <w:uiPriority w:val="39"/>
    <w:rsid w:val="00620403"/>
    <w:rPr>
      <w:sz w:val="22"/>
      <w:szCs w:val="22"/>
      <w:lang w:val="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62040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Hyperlink">
    <w:name w:val="Hyperlink"/>
    <w:basedOn w:val="DefaultParagraphFont"/>
    <w:uiPriority w:val="99"/>
    <w:unhideWhenUsed/>
    <w:rsid w:val="003A3A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7950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1762</Words>
  <Characters>12147</Characters>
  <Application>Microsoft Macintosh Word</Application>
  <DocSecurity>0</DocSecurity>
  <Lines>809</Lines>
  <Paragraphs>339</Paragraphs>
  <ScaleCrop>false</ScaleCrop>
  <HeadingPairs>
    <vt:vector size="2" baseType="variant">
      <vt:variant>
        <vt:lpstr>Title</vt:lpstr>
      </vt:variant>
      <vt:variant>
        <vt:i4>1</vt:i4>
      </vt:variant>
    </vt:vector>
  </HeadingPairs>
  <TitlesOfParts>
    <vt:vector size="1" baseType="lpstr">
      <vt:lpstr/>
    </vt:vector>
  </TitlesOfParts>
  <Manager/>
  <Company>Future Management</Company>
  <LinksUpToDate>false</LinksUpToDate>
  <CharactersWithSpaces>13570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Szakály-Varga Dóra Erika </dc:creator>
  <cp:keywords/>
  <dc:description/>
  <cp:lastModifiedBy>Microsoft Office User</cp:lastModifiedBy>
  <cp:revision>20</cp:revision>
  <dcterms:created xsi:type="dcterms:W3CDTF">2026-04-12T15:51:00Z</dcterms:created>
  <dcterms:modified xsi:type="dcterms:W3CDTF">2026-04-24T20:44:00Z</dcterms:modified>
  <cp:category>Adatkezelés</cp:category>
</cp:coreProperties>
</file>