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8"/>
          <w:szCs w:val="28"/>
          <w:rtl w:val="0"/>
        </w:rPr>
        <w:t xml:space="preserve">ADATKEZELÉSI TÁJÉKOZTATÓ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sz w:val="28"/>
          <w:szCs w:val="28"/>
          <w:rtl w:val="0"/>
        </w:rPr>
        <w:t xml:space="preserve">COOKIE SZABÁLYZAT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line="360" w:lineRule="auto"/>
        <w:jc w:val="center"/>
        <w:rPr>
          <w:rFonts w:ascii="Playfair Display" w:cs="Playfair Display" w:eastAsia="Playfair Display" w:hAnsi="Playfair Display"/>
          <w:i w:val="1"/>
          <w:iCs w:val="1"/>
          <w:color w:val="eb504c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i w:val="1"/>
          <w:iCs w:val="1"/>
          <w:color w:val="eb504c"/>
          <w:sz w:val="22"/>
          <w:szCs w:val="22"/>
          <w:rtl w:val="0"/>
        </w:rPr>
        <w:t xml:space="preserve">Hatálybalépés 2026.04.20. napján.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Playfair Display" w:cs="Playfair Display" w:eastAsia="Playfair Display" w:hAnsi="Playfair Displ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rtl w:val="0"/>
        </w:rPr>
        <w:t xml:space="preserve">Tisztelt Partnerünk!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rtl w:val="0"/>
        </w:rPr>
        <w:t xml:space="preserve">Kérjük, hogy a jelen tájékoztató elolvasásával informálódjon az adatkezelési folyamatainkról, és amennyiben kérdése merülne fel bármelyik ponttal kapcsolatban, a megadott elektronikus elérhetőségen keressen minket bizalommal!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Playfair Display" w:cs="Playfair Display" w:eastAsia="Playfair Display" w:hAnsi="Playfair Displ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Jelen tájékoztató és szabályzat rendelkezéseit kell alkalmazni az FMarketing Kft. személyes adatkezeléssel érintett kérdésekben a kapcsolatba kerülő természetes személyek személyes adatainak kezelésének rendjére.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Tájékoztatjuk, hogy az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000000"/>
          <w:rtl w:val="0"/>
        </w:rPr>
        <w:t xml:space="preserve">FMarketing Kft.</w:t>
      </w: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 (továbbiakban: Adatkezelő) a tevékenysége során tudomására jutott személyes adatokat a személyes adatok kezelése tekintetében történő védelméről és az ilyen adatok szabad áramlásáról, valamint a 95/46/EK rendelet hatályon kívül helyezéséről (általános adatvédelmi rendelet) AZ EURÓPAI PARLAMENT ÉS A TANÁCS (EU) 2016/679 RENDELETE (2016. április 27.) (GDPR) előírásainak betartásával kezeli.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FMarketing Kft. fenntartja magának a jogot arra, hogy a jelen Szabályzatot bármikor módosítsa.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u w:val="single"/>
          <w:rtl w:val="0"/>
        </w:rPr>
        <w:t xml:space="preserve">Az adatkezelési tevékenység során az alábbi jogszabályok irányadóak</w:t>
      </w: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természetes személyeknek, a személyes adatok kezeléséről szóló, az Európai Parlament és a Tanács (EU) 2016/679 rendelete (GDPR Rendelet, a továbbiakban Rendelet)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számvitelről szóló 2000. évi C. törvény (Szvtv.)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Playfair Display" w:cs="Playfair Display" w:eastAsia="Playfair Display" w:hAnsi="Playfair Dis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567" w:right="0" w:hanging="567"/>
        <w:jc w:val="both"/>
        <w:rPr>
          <w:rFonts w:ascii="Playfair Display" w:cs="Playfair Display" w:eastAsia="Playfair Display" w:hAnsi="Playfair Display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Adatkezelő adatai</w:t>
      </w:r>
    </w:p>
    <w:tbl>
      <w:tblPr>
        <w:tblStyle w:val="Table1"/>
        <w:tblW w:w="89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3"/>
        <w:tblGridChange w:id="0">
          <w:tblGrid>
            <w:gridCol w:w="8973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Az Adatkezelő adatai</w:t>
            </w:r>
          </w:p>
        </w:tc>
      </w:tr>
      <w:tr>
        <w:trPr>
          <w:cantSplit w:val="0"/>
          <w:trHeight w:val="156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Az adatkezelő neve: FMarketing Kft.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Az adatkezelő székhelye: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4032 Debrecen, Hársfavirág u. 1/A E. ép.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Az adatkezelő képviselője:  Szikszai Tamás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Elektronikus levelezési cím: </w:t>
            </w:r>
            <w:hyperlink r:id="rId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0563c1"/>
                  <w:u w:val="single"/>
                  <w:rtl w:val="0"/>
                </w:rPr>
                <w:t xml:space="preserve">hello@futuremanagement.hu</w:t>
              </w:r>
            </w:hyperlink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tájékoztató hatályba lépésének dátuma: 2026.04.24.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567" w:right="0" w:hanging="567"/>
        <w:jc w:val="left"/>
        <w:rPr>
          <w:rFonts w:ascii="Playfair Display" w:cs="Playfair Display" w:eastAsia="Playfair Display" w:hAnsi="Playfair Display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Sütik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Adatkezelő weboldala sütiket alkalma az ügyfélforgalom és marketing eszközök méréséhez. Amennyiben engedélyezi számunkra, hogy a szükséges cookie-on túl további sütiket is alkalmazzunk, úgy személyre szabott ajánlatokat tudunk megjeleníteni a különböző online hirdetési felületeken.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318"/>
        <w:gridCol w:w="3281"/>
        <w:gridCol w:w="1763"/>
        <w:gridCol w:w="1507"/>
        <w:gridCol w:w="1193"/>
        <w:tblGridChange w:id="0">
          <w:tblGrid>
            <w:gridCol w:w="1318"/>
            <w:gridCol w:w="3281"/>
            <w:gridCol w:w="1763"/>
            <w:gridCol w:w="1507"/>
            <w:gridCol w:w="1193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Elengedhetetlen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szükséges sütik döntő fontosságúak a weboldal alapvető funkciói szempontjából, és a weboldal ezek nélkül nem működik megfelelően. Ezen sütik nem tárolnak személyazonosításra alkalmas adatokat.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SZOLGÁLTATÓ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CÉL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TÁROLÁSI IDŐ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TÍPUS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74747"/>
                <w:sz w:val="21"/>
                <w:szCs w:val="21"/>
                <w:highlight w:val="white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767676"/>
                <w:sz w:val="21"/>
                <w:szCs w:val="21"/>
                <w:highlight w:val="white"/>
                <w:rtl w:val="0"/>
              </w:rPr>
              <w:t xml:space="preserve">cf_bm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www.cloudflare.com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Cloudflare ezzel a cookie-val támogatja a Cloudflare Bot Management-et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60 perc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XSRF-TOKEN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www.static.parastorage.com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Wix biztonsági célokra használja ezt a cookie-t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120 perc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955"/>
        <w:gridCol w:w="2791"/>
        <w:gridCol w:w="1745"/>
        <w:gridCol w:w="1478"/>
        <w:gridCol w:w="1093"/>
        <w:tblGridChange w:id="0">
          <w:tblGrid>
            <w:gridCol w:w="1955"/>
            <w:gridCol w:w="2791"/>
            <w:gridCol w:w="1745"/>
            <w:gridCol w:w="1478"/>
            <w:gridCol w:w="1093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Analitikai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Analitikai sütiket használunk annak megértésére, hogy a látogatók hogyan lépnek kapcsolatba a weboldallal. Ezen cookie-k segítséget nyújtanak a látogatók számának meghatározásában, a visszafordulási arány és a forgalmi forrással kapcsolatban.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SZOLGÁLTATÓ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CÉL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TÁROLÁSI IDŐ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TÍPUS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_fbp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facebook.net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Ezt a cookie-t a Facebook használja, amelynek segítségével reklámokat jelenít meg a Facebookon vagy a Facebook hirdetésekkel rendelkező digitalis platformon a weboldal felkeresése után.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3 hónap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_hjSessionUser</w:t>
            </w:r>
            <w:r w:rsidDel="00000000" w:rsidR="00000000" w:rsidRPr="00000000">
              <w:rPr>
                <w:rFonts w:ascii="Arial" w:cs="Arial" w:eastAsia="Arial" w:hAnsi="Arial"/>
                <w:color w:val="474747"/>
                <w:sz w:val="21"/>
                <w:szCs w:val="21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hotjar.com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Ez a süti tárolja a Hotjar User ID-t, de nem tartamaz közvetlen személyes információt (Ip-cím), de lehetővé teszi, hogy pl. kiszűrje az ismételt látogatásokat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1 év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_hjSession_</w:t>
            </w:r>
            <w:r w:rsidDel="00000000" w:rsidR="00000000" w:rsidRPr="00000000">
              <w:rPr>
                <w:rFonts w:ascii="Arial" w:cs="Arial" w:eastAsia="Arial" w:hAnsi="Arial"/>
                <w:color w:val="474747"/>
                <w:sz w:val="21"/>
                <w:szCs w:val="21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hotjar.com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Hotjar arra használja ezt a sütit, hogy megjegyezze a látogatót, amikor az oldal különböző aloldalai között navigál, vagy később visszatér.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1 óra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3251"/>
        <w:gridCol w:w="1767"/>
        <w:gridCol w:w="1745"/>
        <w:gridCol w:w="1463"/>
        <w:gridCol w:w="836"/>
        <w:tblGridChange w:id="0">
          <w:tblGrid>
            <w:gridCol w:w="3251"/>
            <w:gridCol w:w="1767"/>
            <w:gridCol w:w="1745"/>
            <w:gridCol w:w="1463"/>
            <w:gridCol w:w="836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Hirdetés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hirdetési sütiket arra használjuk, hogy a látogatókat személyre szabott hirdetésekkel juttassuk el a korábban meglátogatott oldalak alapján és elemezzük a hirdetési kampányunk hatákonyságát.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SZOLGÁLTATÓ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CÉL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TÁROLÁSI IDŐ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TÍPUS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YSC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a cookie segítségével követi nyomon a Youtube oldalakon beágyazott videók megtekintéseit.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Munkamenet (session) cookie, ami a böngésző bezárásáig él.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VISITOR_INFO1_LIVE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segítségével méri a sávszélességet, és eldönti, hogy a felhasználó az új vagy a régi lejátszói felületet kapja.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6 hónap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VISITOR_PRIVACY_METADATA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Ez a cookie rögzíti, hogy milyen adatvédelmi hozzájárulást adott meg a felhasználó, amelynek segítségével a weboldal megjegyzi a döntést.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6 hónap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Yt-remote-device-id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 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a cookie segítségével tárolja a felhasználó videóbeállításait a beágyazott Youtube videókhoz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Nincs tárolás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Yt.innertube::requests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használja ezt a cookie-t, amely regisztrál egy egyedi azonosítót, amivel adatokat tárol arról, hogy a felhasználó milyen videókat nézett meg a Youtube-on.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Nincs tárolás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Yt-remote-connected-devices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a cookie segítségével tárolja a felhasználó videóbeállításait a beágyazott Youtube videókhoz.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Nincs tárolás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yt.innertube::nextId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youtube.com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Youtube használja ezt a cookie. Adatot tárol arról, hogy milyen videókat nézett meg a felhasználó a Youtube-on.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Nincs tárolás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test_cookie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Doubleclick.net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 doubleclick.net a cookie segítségével határozza meg, hogy a felhasználó böngészője támogatja – e a cookie-kat.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16 perc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</w:tbl>
    <w:p w:rsidR="00000000" w:rsidDel="00000000" w:rsidP="00000000" w:rsidRDefault="00000000" w:rsidRPr="00000000" w14:paraId="0000008C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00000000002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2903"/>
        <w:gridCol w:w="1999"/>
        <w:gridCol w:w="1587"/>
        <w:gridCol w:w="1646"/>
        <w:gridCol w:w="927"/>
        <w:tblGridChange w:id="0">
          <w:tblGrid>
            <w:gridCol w:w="2903"/>
            <w:gridCol w:w="1999"/>
            <w:gridCol w:w="1587"/>
            <w:gridCol w:w="1646"/>
            <w:gridCol w:w="92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Kategorizálatlan, egyéb cookie-k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Amelyek elemeznek, és amelyeket még nem soroltak be kategóriába.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SZOLGÁLTATÓ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CÉL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TÁROLÁSI IDŐ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00000"/>
                <w:rtl w:val="0"/>
              </w:rPr>
              <w:t xml:space="preserve">TÍPUS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TESTCOOKIESENABLED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Ellenőrzi, hogy a felhasználó böngészője befogadja- e a cookie-kat.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2 perc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tabs>
                <w:tab w:val="right" w:leader="none" w:pos="2687"/>
              </w:tabs>
              <w:rPr/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_hjCookieTest</w:t>
            </w:r>
            <w:r w:rsidDel="00000000" w:rsidR="00000000" w:rsidRPr="00000000">
              <w:rPr>
                <w:rFonts w:ascii="Arial" w:cs="Arial" w:eastAsia="Arial" w:hAnsi="Arial"/>
                <w:color w:val="474747"/>
                <w:sz w:val="21"/>
                <w:szCs w:val="21"/>
                <w:highlight w:val="whit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 Teszt cookie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munkamanet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Lisnhu_session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Segít felismerni, hogy a felhasználó ugyanaz-e, aki az előző odalt is megnyitotta. 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2 óra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Playfair Display" w:cs="Playfair Display" w:eastAsia="Playfair Display" w:hAnsi="Playfair Display"/>
                <w:color w:val="00000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000000"/>
                <w:rtl w:val="0"/>
              </w:rPr>
              <w:t xml:space="preserve">HTTP</w:t>
            </w:r>
          </w:p>
        </w:tc>
      </w:tr>
    </w:tbl>
    <w:p w:rsidR="00000000" w:rsidDel="00000000" w:rsidP="00000000" w:rsidRDefault="00000000" w:rsidRPr="00000000" w14:paraId="000000A8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567" w:right="0" w:hanging="567"/>
        <w:jc w:val="both"/>
        <w:rPr>
          <w:rFonts w:ascii="Playfair Display" w:cs="Playfair Display" w:eastAsia="Playfair Display" w:hAnsi="Playfair Display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Adatvédelmi incidens kezelése</w:t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adatvédelmi incidens megelőzése, kivizsgálása és kezelése az Adatkezelő feladata. 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adatvédelmi incidens a biztonságnak bármely nemű sérülése, amely során a továbbított, vagy kezelt személyes adat véletlen vagy azok megsemmisülését, jogosulatlan közlését, közzétételét, valamint a személyes adatokhoz való jogosulatlan hozzáférést eredményez. 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adatvédelmi incidenskezelési szabályzat honlapunkon megtalálható és az alábbi linken keresztül érhető el: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  <w:hyperlink r:id="rId7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Incidenskezelési-tájékoztató.docx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567" w:right="0" w:hanging="567"/>
        <w:jc w:val="both"/>
        <w:rPr>
          <w:rFonts w:ascii="Playfair Display" w:cs="Playfair Display" w:eastAsia="Playfair Display" w:hAnsi="Playfair Display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Panasz benyújtása a felügyeleti hatósághoz 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Amennyiben az érintettet a személyes adatok kezelésével kapcsolatban sérelem éri, panaszával a Nemzeti Adatvédelmi és Információszabadság Hatósághoz fordulhat.  </w:t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u w:val="single"/>
          <w:rtl w:val="0"/>
        </w:rPr>
        <w:t xml:space="preserve">A hatóság elérhetősége: 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Hatóság neve: Nemzeti Adatvédelmi és Információszabadság Hatóság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E-mail: ugyfelszolgalat@naih.hu 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Telefon: +36 1 391 1400 </w:t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Postacím: 1363 Budapest, Pf.: 9. 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Honlap: www.naih.hu </w:t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567" w:right="0" w:hanging="567"/>
        <w:jc w:val="both"/>
        <w:rPr>
          <w:rFonts w:ascii="Playfair Display" w:cs="Playfair Display" w:eastAsia="Playfair Display" w:hAnsi="Playfair Display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Panasz benyújtása a bírósághoz</w:t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Playfair Display" w:cs="Playfair Display" w:eastAsia="Playfair Display" w:hAnsi="Playfair Display"/>
          <w:b w:val="1"/>
          <w:bCs w:val="1"/>
          <w:color w:val="00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Az érintettnek lehetősége van adatainak védelme érdekében bírósághoz fordulni. Az érintett választása szerint a lakóhelye vagy a tartózkodási helye szerinti illetékes, vagy az Adatkezelő székhelye szerinti illetékes törvényszéknél nyújthatja be keresetét. A bírósági eljárás soron kívül történik.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rPr>
          <w:rFonts w:ascii="Playfair Display" w:cs="Playfair Display" w:eastAsia="Playfair Display" w:hAnsi="Playfair Display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395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____________________________________</w:t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395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  <w:rtl w:val="0"/>
      </w:rPr>
      <w:t xml:space="preserve">FMarketing Kft.</w:t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395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  <w:rtl w:val="0"/>
      </w:rPr>
      <w:t xml:space="preserve">4032 Debrecen, Hársfavirág u. 1/A E. ép.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395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</w:rPr>
    </w:pPr>
    <w:bookmarkStart w:colFirst="0" w:colLast="0" w:name="_e8vd00vy8pa0" w:id="0"/>
    <w:bookmarkEnd w:id="0"/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eb504c"/>
        <w:sz w:val="21"/>
        <w:szCs w:val="21"/>
        <w:u w:val="none"/>
        <w:shd w:fill="auto" w:val="clear"/>
        <w:vertAlign w:val="baseline"/>
        <w:rtl w:val="0"/>
      </w:rPr>
      <w:t xml:space="preserve">Adatvédelmi tájékoztató készült: 2026.04.20. napján.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b504c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21783" cy="967338"/>
          <wp:effectExtent b="0" l="0" r="0" t="0"/>
          <wp:docPr descr="/Users/Dori/Documents/Future Management/8463482902_1713136736.png" id="1" name="image1.png"/>
          <a:graphic>
            <a:graphicData uri="http://schemas.openxmlformats.org/drawingml/2006/picture">
              <pic:pic>
                <pic:nvPicPr>
                  <pic:cNvPr descr="/Users/Dori/Documents/Future Management/8463482902_171313673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1783" cy="967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Garamond" w:cs="Garamond" w:eastAsia="Garamond" w:hAnsi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hello@futuremanagement.hu" TargetMode="External"/><Relationship Id="rId7" Type="http://schemas.openxmlformats.org/officeDocument/2006/relationships/hyperlink" Target="https://futuremanagement.hu/wp-content/uploads/2026/06/INCIDENSKEZELESI-TAJEKOZTATO.docx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